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375F" w14:textId="77777777" w:rsidR="00F64A52" w:rsidRPr="00435380" w:rsidRDefault="00F64A52" w:rsidP="00FF05BC">
      <w:pPr>
        <w:spacing w:after="240" w:line="240" w:lineRule="auto"/>
        <w:ind w:firstLine="360"/>
        <w:jc w:val="center"/>
        <w:rPr>
          <w:rFonts w:eastAsiaTheme="minorEastAsia" w:cstheme="minorHAnsi"/>
          <w:b/>
          <w:color w:val="000000" w:themeColor="text1"/>
          <w:sz w:val="24"/>
          <w:szCs w:val="24"/>
        </w:rPr>
      </w:pPr>
      <w:r w:rsidRPr="00435380">
        <w:rPr>
          <w:rFonts w:eastAsiaTheme="minorEastAsia" w:cstheme="minorHAnsi"/>
          <w:b/>
          <w:color w:val="000000" w:themeColor="text1"/>
          <w:sz w:val="24"/>
          <w:szCs w:val="24"/>
        </w:rPr>
        <w:t>Part B Assessment Data Notes</w:t>
      </w:r>
    </w:p>
    <w:p w14:paraId="12D03760" w14:textId="555171F3" w:rsidR="00F64A52" w:rsidRPr="00435380" w:rsidRDefault="008160F1" w:rsidP="00FF05BC">
      <w:pPr>
        <w:spacing w:after="240" w:line="240" w:lineRule="auto"/>
        <w:ind w:firstLine="360"/>
        <w:jc w:val="center"/>
        <w:rPr>
          <w:rFonts w:eastAsiaTheme="minorEastAsia" w:cstheme="minorHAnsi"/>
          <w:b/>
          <w:color w:val="000000" w:themeColor="text1"/>
          <w:sz w:val="24"/>
          <w:szCs w:val="24"/>
        </w:rPr>
      </w:pPr>
      <w:r>
        <w:rPr>
          <w:rFonts w:eastAsiaTheme="minorEastAsia" w:cstheme="minorHAnsi"/>
          <w:b/>
          <w:color w:val="000000" w:themeColor="text1"/>
          <w:sz w:val="24"/>
          <w:szCs w:val="24"/>
        </w:rPr>
        <w:t>202</w:t>
      </w:r>
      <w:r w:rsidR="001C76DD">
        <w:rPr>
          <w:rFonts w:eastAsiaTheme="minorEastAsia" w:cstheme="minorHAnsi"/>
          <w:b/>
          <w:color w:val="000000" w:themeColor="text1"/>
          <w:sz w:val="24"/>
          <w:szCs w:val="24"/>
        </w:rPr>
        <w:t>1</w:t>
      </w:r>
      <w:r w:rsidR="00F64A52" w:rsidRPr="00435380">
        <w:rPr>
          <w:rFonts w:eastAsiaTheme="minorEastAsia" w:cstheme="minorHAnsi"/>
          <w:b/>
          <w:color w:val="000000" w:themeColor="text1"/>
          <w:sz w:val="24"/>
          <w:szCs w:val="24"/>
        </w:rPr>
        <w:t>-</w:t>
      </w:r>
      <w:r w:rsidR="00157FF9">
        <w:rPr>
          <w:rFonts w:eastAsiaTheme="minorEastAsia" w:cstheme="minorHAnsi"/>
          <w:b/>
          <w:color w:val="000000" w:themeColor="text1"/>
          <w:sz w:val="24"/>
          <w:szCs w:val="24"/>
        </w:rPr>
        <w:t>2</w:t>
      </w:r>
      <w:r w:rsidR="001C76DD">
        <w:rPr>
          <w:rFonts w:eastAsiaTheme="minorEastAsia" w:cstheme="minorHAnsi"/>
          <w:b/>
          <w:color w:val="000000" w:themeColor="text1"/>
          <w:sz w:val="24"/>
          <w:szCs w:val="24"/>
        </w:rPr>
        <w:t>2</w:t>
      </w:r>
      <w:r w:rsidR="00F64A52" w:rsidRPr="00435380">
        <w:rPr>
          <w:rFonts w:eastAsiaTheme="minorEastAsia" w:cstheme="minorHAnsi"/>
          <w:b/>
          <w:color w:val="000000" w:themeColor="text1"/>
          <w:sz w:val="24"/>
          <w:szCs w:val="24"/>
        </w:rPr>
        <w:t xml:space="preserve"> Reporting Year</w:t>
      </w:r>
    </w:p>
    <w:p w14:paraId="4743266D" w14:textId="74902510" w:rsidR="00E97E0B" w:rsidRPr="0099110B" w:rsidRDefault="00F64A52" w:rsidP="00BB20E4">
      <w:pPr>
        <w:spacing w:line="240" w:lineRule="auto"/>
        <w:rPr>
          <w:rFonts w:eastAsiaTheme="minorEastAsia" w:cstheme="minorHAnsi"/>
          <w:color w:val="000000" w:themeColor="text1"/>
        </w:rPr>
      </w:pPr>
      <w:r w:rsidRPr="0099110B">
        <w:rPr>
          <w:rFonts w:eastAsiaTheme="minorEastAsia" w:cstheme="minorHAnsi"/>
          <w:color w:val="000000" w:themeColor="text1"/>
        </w:rPr>
        <w:t xml:space="preserve">This document provides information or data notes on the ways in which </w:t>
      </w:r>
      <w:r w:rsidR="005B3E5C" w:rsidRPr="0099110B">
        <w:rPr>
          <w:rFonts w:eastAsiaTheme="minorEastAsia" w:cstheme="minorHAnsi"/>
          <w:color w:val="000000" w:themeColor="text1"/>
        </w:rPr>
        <w:t>S</w:t>
      </w:r>
      <w:r w:rsidRPr="0099110B">
        <w:rPr>
          <w:rFonts w:eastAsiaTheme="minorEastAsia" w:cstheme="minorHAnsi"/>
          <w:color w:val="000000" w:themeColor="text1"/>
        </w:rPr>
        <w:t>tates</w:t>
      </w:r>
      <w:r w:rsidR="005B3E5C" w:rsidRPr="0099110B">
        <w:rPr>
          <w:rFonts w:eastAsiaTheme="minorEastAsia" w:cstheme="minorHAnsi"/>
          <w:color w:val="000000" w:themeColor="text1"/>
        </w:rPr>
        <w:t xml:space="preserve"> and entities</w:t>
      </w:r>
      <w:r w:rsidRPr="0099110B">
        <w:rPr>
          <w:rFonts w:eastAsiaTheme="minorEastAsia" w:cstheme="minorHAnsi"/>
          <w:color w:val="000000" w:themeColor="text1"/>
        </w:rPr>
        <w:t xml:space="preserve"> collected and reported data differently from the Office of Special Education Programs (OSEP) data formats and instructions. In addition, the data notes provide explanations of substantial changes </w:t>
      </w:r>
      <w:r w:rsidR="00CC4330" w:rsidRPr="0099110B">
        <w:rPr>
          <w:rFonts w:eastAsiaTheme="minorEastAsia" w:cstheme="minorHAnsi"/>
          <w:color w:val="000000" w:themeColor="text1"/>
        </w:rPr>
        <w:t>from previous year</w:t>
      </w:r>
      <w:r w:rsidR="00435380" w:rsidRPr="0099110B">
        <w:rPr>
          <w:rFonts w:eastAsiaTheme="minorEastAsia" w:cstheme="minorHAnsi"/>
          <w:color w:val="000000" w:themeColor="text1"/>
        </w:rPr>
        <w:t>’s submissions</w:t>
      </w:r>
      <w:r w:rsidR="00CC4330" w:rsidRPr="0099110B">
        <w:rPr>
          <w:rFonts w:eastAsiaTheme="minorEastAsia" w:cstheme="minorHAnsi"/>
          <w:color w:val="000000" w:themeColor="text1"/>
        </w:rPr>
        <w:t xml:space="preserve"> as well as</w:t>
      </w:r>
      <w:r w:rsidRPr="0099110B">
        <w:rPr>
          <w:rFonts w:eastAsiaTheme="minorEastAsia" w:cstheme="minorHAnsi"/>
          <w:color w:val="000000" w:themeColor="text1"/>
        </w:rPr>
        <w:t xml:space="preserve"> other</w:t>
      </w:r>
      <w:r w:rsidR="00CC4330" w:rsidRPr="0099110B">
        <w:rPr>
          <w:rFonts w:eastAsiaTheme="minorEastAsia" w:cstheme="minorHAnsi"/>
          <w:color w:val="000000" w:themeColor="text1"/>
        </w:rPr>
        <w:t xml:space="preserve"> information </w:t>
      </w:r>
      <w:r w:rsidRPr="0099110B">
        <w:rPr>
          <w:rFonts w:eastAsiaTheme="minorEastAsia" w:cstheme="minorHAnsi"/>
          <w:color w:val="000000" w:themeColor="text1"/>
        </w:rPr>
        <w:t>that data users may find notable or of interest</w:t>
      </w:r>
      <w:r w:rsidR="00CC4330" w:rsidRPr="0099110B">
        <w:rPr>
          <w:rFonts w:eastAsiaTheme="minorEastAsia" w:cstheme="minorHAnsi"/>
          <w:color w:val="000000" w:themeColor="text1"/>
        </w:rPr>
        <w:t xml:space="preserve"> when reviewing and using these data.</w:t>
      </w:r>
    </w:p>
    <w:p w14:paraId="59FB316F" w14:textId="286F5719" w:rsidR="00765382" w:rsidRPr="0099110B" w:rsidRDefault="00377415" w:rsidP="00BB20E4">
      <w:pPr>
        <w:spacing w:line="240" w:lineRule="auto"/>
        <w:rPr>
          <w:rFonts w:eastAsiaTheme="minorEastAsia" w:cstheme="minorHAnsi"/>
          <w:color w:val="000000" w:themeColor="text1"/>
        </w:rPr>
      </w:pPr>
      <w:bookmarkStart w:id="0" w:name="_Hlk15551023"/>
      <w:r w:rsidRPr="0099110B">
        <w:rPr>
          <w:rFonts w:cstheme="minorHAnsi"/>
        </w:rPr>
        <w:t xml:space="preserve">Other </w:t>
      </w:r>
      <w:r w:rsidR="005C01D2" w:rsidRPr="0099110B">
        <w:rPr>
          <w:rFonts w:cstheme="minorHAnsi"/>
        </w:rPr>
        <w:t>ED</w:t>
      </w:r>
      <w:r w:rsidR="005C01D2" w:rsidRPr="0099110B">
        <w:rPr>
          <w:rFonts w:cstheme="minorHAnsi"/>
          <w:i/>
        </w:rPr>
        <w:t>Facts</w:t>
      </w:r>
      <w:r w:rsidR="005C01D2" w:rsidRPr="0099110B">
        <w:rPr>
          <w:rFonts w:cstheme="minorHAnsi"/>
        </w:rPr>
        <w:t>-wide assessment data and state note</w:t>
      </w:r>
      <w:r w:rsidRPr="0099110B">
        <w:rPr>
          <w:rFonts w:cstheme="minorHAnsi"/>
        </w:rPr>
        <w:t>s</w:t>
      </w:r>
      <w:r w:rsidR="005C01D2" w:rsidRPr="0099110B">
        <w:rPr>
          <w:rFonts w:cstheme="minorHAnsi"/>
        </w:rPr>
        <w:t xml:space="preserve"> are published </w:t>
      </w:r>
      <w:r w:rsidR="00AB3E74" w:rsidRPr="0099110B">
        <w:rPr>
          <w:rFonts w:eastAsiaTheme="minorEastAsia" w:cstheme="minorHAnsi"/>
          <w:color w:val="000000" w:themeColor="text1"/>
        </w:rPr>
        <w:t xml:space="preserve">in the </w:t>
      </w:r>
      <w:hyperlink r:id="rId11" w:history="1">
        <w:r w:rsidR="00AB3E74" w:rsidRPr="0099110B">
          <w:rPr>
            <w:rStyle w:val="Hyperlink"/>
            <w:rFonts w:eastAsiaTheme="minorEastAsia" w:cstheme="minorHAnsi"/>
          </w:rPr>
          <w:t>ED</w:t>
        </w:r>
        <w:r w:rsidR="00AB3E74" w:rsidRPr="0099110B">
          <w:rPr>
            <w:rStyle w:val="Hyperlink"/>
            <w:rFonts w:eastAsiaTheme="minorEastAsia" w:cstheme="minorHAnsi"/>
            <w:i/>
          </w:rPr>
          <w:t>Facts</w:t>
        </w:r>
        <w:r w:rsidR="00AB3E74" w:rsidRPr="0099110B">
          <w:rPr>
            <w:rStyle w:val="Hyperlink"/>
            <w:rFonts w:eastAsiaTheme="minorEastAsia" w:cstheme="minorHAnsi"/>
          </w:rPr>
          <w:t xml:space="preserve"> public file documentation</w:t>
        </w:r>
      </w:hyperlink>
      <w:r w:rsidR="00AB3E74" w:rsidRPr="0099110B">
        <w:rPr>
          <w:rFonts w:eastAsiaTheme="minorEastAsia" w:cstheme="minorHAnsi"/>
          <w:color w:val="000000" w:themeColor="text1"/>
        </w:rPr>
        <w:t>.</w:t>
      </w:r>
      <w:r w:rsidR="004245E1">
        <w:rPr>
          <w:rFonts w:eastAsiaTheme="minorEastAsia" w:cstheme="minorHAnsi"/>
          <w:color w:val="000000" w:themeColor="text1"/>
        </w:rPr>
        <w:t xml:space="preserve">  </w:t>
      </w:r>
      <w:r w:rsidR="00640D41" w:rsidRPr="0099110B">
        <w:rPr>
          <w:rFonts w:eastAsiaTheme="minorEastAsia" w:cstheme="minorHAnsi"/>
          <w:color w:val="000000" w:themeColor="text1"/>
        </w:rPr>
        <w:t>Additional information on changes to state assessments, achievement standards, and content standards from year to year as well as information on outlying areas and freely associated states implementation of</w:t>
      </w:r>
      <w:r w:rsidR="00332449">
        <w:rPr>
          <w:rFonts w:eastAsiaTheme="minorEastAsia" w:cstheme="minorHAnsi"/>
          <w:color w:val="000000" w:themeColor="text1"/>
        </w:rPr>
        <w:t xml:space="preserve"> the</w:t>
      </w:r>
      <w:r w:rsidR="00640D41" w:rsidRPr="0099110B">
        <w:rPr>
          <w:rFonts w:eastAsiaTheme="minorEastAsia" w:cstheme="minorHAnsi"/>
          <w:color w:val="000000" w:themeColor="text1"/>
        </w:rPr>
        <w:t xml:space="preserve"> </w:t>
      </w:r>
      <w:r w:rsidR="00332449">
        <w:rPr>
          <w:rFonts w:eastAsiaTheme="minorEastAsia" w:cstheme="minorHAnsi"/>
          <w:color w:val="000000" w:themeColor="text1"/>
        </w:rPr>
        <w:t>Elementary and Secondary Education Act (</w:t>
      </w:r>
      <w:r w:rsidR="00640D41" w:rsidRPr="0099110B">
        <w:rPr>
          <w:rFonts w:eastAsiaTheme="minorEastAsia" w:cstheme="minorHAnsi"/>
          <w:color w:val="000000" w:themeColor="text1"/>
        </w:rPr>
        <w:t>ESEA</w:t>
      </w:r>
      <w:r w:rsidR="00332449">
        <w:rPr>
          <w:rFonts w:eastAsiaTheme="minorEastAsia" w:cstheme="minorHAnsi"/>
          <w:color w:val="000000" w:themeColor="text1"/>
        </w:rPr>
        <w:t>)</w:t>
      </w:r>
      <w:r w:rsidR="00640D41" w:rsidRPr="0099110B">
        <w:rPr>
          <w:rFonts w:eastAsiaTheme="minorEastAsia" w:cstheme="minorHAnsi"/>
          <w:color w:val="000000" w:themeColor="text1"/>
        </w:rPr>
        <w:t xml:space="preserve"> are available in the</w:t>
      </w:r>
      <w:r w:rsidR="00832009">
        <w:rPr>
          <w:rFonts w:eastAsiaTheme="minorEastAsia" w:cstheme="minorHAnsi"/>
          <w:color w:val="000000" w:themeColor="text1"/>
        </w:rPr>
        <w:t xml:space="preserve"> Part B Assessment</w:t>
      </w:r>
      <w:r w:rsidR="00640D41" w:rsidRPr="0099110B">
        <w:rPr>
          <w:rFonts w:eastAsiaTheme="minorEastAsia" w:cstheme="minorHAnsi"/>
          <w:color w:val="000000" w:themeColor="text1"/>
        </w:rPr>
        <w:t xml:space="preserve"> data </w:t>
      </w:r>
      <w:r w:rsidRPr="0099110B">
        <w:rPr>
          <w:rFonts w:eastAsiaTheme="minorEastAsia" w:cstheme="minorHAnsi"/>
          <w:color w:val="000000" w:themeColor="text1"/>
        </w:rPr>
        <w:t>file documentation</w:t>
      </w:r>
      <w:r w:rsidR="00832009">
        <w:rPr>
          <w:rFonts w:eastAsiaTheme="minorEastAsia" w:cstheme="minorHAnsi"/>
          <w:color w:val="000000" w:themeColor="text1"/>
        </w:rPr>
        <w:t xml:space="preserve"> at:</w:t>
      </w:r>
      <w:r w:rsidR="00832009" w:rsidRPr="00832009">
        <w:t xml:space="preserve"> </w:t>
      </w:r>
      <w:hyperlink r:id="rId12" w:history="1">
        <w:r w:rsidR="00832009" w:rsidRPr="00832009">
          <w:rPr>
            <w:color w:val="0000FF"/>
            <w:u w:val="single"/>
          </w:rPr>
          <w:t>Data Profiles - Department of Education Open Data Platform</w:t>
        </w:r>
      </w:hyperlink>
      <w:r w:rsidR="009D556C" w:rsidRPr="0099110B">
        <w:rPr>
          <w:rFonts w:eastAsiaTheme="minorEastAsia" w:cstheme="minorHAnsi"/>
          <w:color w:val="000000" w:themeColor="text1"/>
        </w:rPr>
        <w:t>)</w:t>
      </w:r>
      <w:r w:rsidR="00640D41" w:rsidRPr="0099110B">
        <w:rPr>
          <w:rFonts w:eastAsiaTheme="minorEastAsia" w:cstheme="minorHAnsi"/>
          <w:color w:val="000000" w:themeColor="text1"/>
        </w:rPr>
        <w:t>.</w:t>
      </w:r>
      <w:bookmarkEnd w:id="0"/>
    </w:p>
    <w:p w14:paraId="10B0228F" w14:textId="3698F0B3" w:rsidR="00765382" w:rsidRPr="0099110B" w:rsidRDefault="00765382" w:rsidP="00FF05BC">
      <w:pPr>
        <w:pBdr>
          <w:bottom w:val="single" w:sz="12" w:space="1" w:color="365F91" w:themeColor="accent1" w:themeShade="BF"/>
        </w:pBdr>
        <w:spacing w:after="0" w:line="240" w:lineRule="auto"/>
        <w:outlineLvl w:val="0"/>
        <w:rPr>
          <w:rFonts w:eastAsiaTheme="majorEastAsia" w:cstheme="minorHAnsi"/>
          <w:b/>
          <w:bCs/>
          <w:color w:val="365F91" w:themeColor="accent1" w:themeShade="BF"/>
        </w:rPr>
      </w:pPr>
      <w:r w:rsidRPr="0099110B">
        <w:rPr>
          <w:rFonts w:eastAsia="Times New Roman" w:cstheme="minorHAnsi"/>
          <w:b/>
          <w:bCs/>
          <w:color w:val="000000" w:themeColor="text1"/>
        </w:rPr>
        <w:t>Alabama</w:t>
      </w:r>
    </w:p>
    <w:p w14:paraId="0DC484BF" w14:textId="40849173" w:rsidR="000E7581" w:rsidRPr="000E7581" w:rsidRDefault="009E21FA" w:rsidP="00FF05BC">
      <w:pPr>
        <w:spacing w:after="0" w:line="240" w:lineRule="auto"/>
        <w:rPr>
          <w:rFonts w:eastAsiaTheme="minorEastAsia" w:cstheme="minorHAnsi"/>
        </w:rPr>
      </w:pPr>
      <w:r w:rsidRPr="000E7581">
        <w:rPr>
          <w:rFonts w:eastAsia="Times New Roman"/>
        </w:rPr>
        <w:t>-</w:t>
      </w:r>
      <w:r w:rsidR="00E61184">
        <w:rPr>
          <w:rFonts w:eastAsia="Times New Roman"/>
        </w:rPr>
        <w:t xml:space="preserve"> </w:t>
      </w:r>
      <w:bookmarkStart w:id="1" w:name="_Hlk139454490"/>
      <w:r w:rsidRPr="000E7581">
        <w:rPr>
          <w:rFonts w:eastAsia="Times New Roman"/>
        </w:rPr>
        <w:t>The State provided the following response(s) to large Year to Year change(s):</w:t>
      </w:r>
      <w:bookmarkEnd w:id="1"/>
    </w:p>
    <w:p w14:paraId="533885FF" w14:textId="16AAA3DD" w:rsidR="00486C4A" w:rsidRPr="00486C4A" w:rsidRDefault="00486C4A" w:rsidP="006F707F">
      <w:pPr>
        <w:pStyle w:val="ListParagraph"/>
        <w:numPr>
          <w:ilvl w:val="0"/>
          <w:numId w:val="1"/>
        </w:numPr>
        <w:spacing w:line="240" w:lineRule="auto"/>
        <w:rPr>
          <w:rFonts w:eastAsia="Times New Roman" w:cstheme="minorHAnsi"/>
          <w:color w:val="000000"/>
        </w:rPr>
      </w:pPr>
      <w:r w:rsidRPr="00486C4A">
        <w:rPr>
          <w:rFonts w:eastAsia="Times New Roman" w:cstheme="minorHAnsi"/>
          <w:color w:val="000000"/>
        </w:rPr>
        <w:t xml:space="preserve">After the first year of testing, analysis </w:t>
      </w:r>
      <w:r w:rsidR="00973CCF" w:rsidRPr="00486C4A">
        <w:rPr>
          <w:rFonts w:eastAsia="Times New Roman" w:cstheme="minorHAnsi"/>
          <w:color w:val="000000"/>
        </w:rPr>
        <w:t>was</w:t>
      </w:r>
      <w:r w:rsidRPr="00486C4A">
        <w:rPr>
          <w:rFonts w:eastAsia="Times New Roman" w:cstheme="minorHAnsi"/>
          <w:color w:val="000000"/>
        </w:rPr>
        <w:t xml:space="preserve"> completed on the use of accommodations provided and it was determined accommodations were not needed for the second year. It was determined that students didn’t need the additional time accommodation due to finishing the assessment within the standard time.</w:t>
      </w:r>
      <w:r w:rsidR="004245E1">
        <w:rPr>
          <w:rFonts w:eastAsia="Times New Roman" w:cstheme="minorHAnsi"/>
          <w:color w:val="000000"/>
        </w:rPr>
        <w:t xml:space="preserve"> </w:t>
      </w:r>
      <w:r w:rsidRPr="00486C4A">
        <w:rPr>
          <w:rFonts w:eastAsia="Times New Roman" w:cstheme="minorHAnsi"/>
          <w:color w:val="000000"/>
        </w:rPr>
        <w:t>The data are reflective of the Grades 3-8 Summative Assessment.</w:t>
      </w:r>
    </w:p>
    <w:p w14:paraId="7BA3A571" w14:textId="2888FC33" w:rsidR="009C7DFD" w:rsidRPr="006F707F" w:rsidRDefault="009C7DFD" w:rsidP="006F707F">
      <w:pPr>
        <w:spacing w:line="240" w:lineRule="auto"/>
        <w:rPr>
          <w:rFonts w:eastAsia="Times New Roman"/>
        </w:rPr>
      </w:pPr>
      <w:r>
        <w:rPr>
          <w:rFonts w:eastAsia="Times New Roman"/>
        </w:rPr>
        <w:t xml:space="preserve">- </w:t>
      </w:r>
      <w:r w:rsidR="00486C4A" w:rsidRPr="006F707F">
        <w:rPr>
          <w:rFonts w:eastAsia="Times New Roman"/>
        </w:rPr>
        <w:t xml:space="preserve">The discrepancy is due to </w:t>
      </w:r>
      <w:r w:rsidR="000A71CA" w:rsidRPr="006F707F">
        <w:rPr>
          <w:rFonts w:eastAsia="Times New Roman"/>
        </w:rPr>
        <w:t>students being</w:t>
      </w:r>
      <w:r w:rsidR="00486C4A" w:rsidRPr="006F707F">
        <w:rPr>
          <w:rFonts w:eastAsia="Times New Roman"/>
        </w:rPr>
        <w:t xml:space="preserve"> tested on the A</w:t>
      </w:r>
      <w:r w:rsidR="00E51B81" w:rsidRPr="006F707F">
        <w:rPr>
          <w:rFonts w:eastAsia="Times New Roman"/>
        </w:rPr>
        <w:t xml:space="preserve">labama </w:t>
      </w:r>
      <w:r w:rsidR="00486C4A" w:rsidRPr="006F707F">
        <w:rPr>
          <w:rFonts w:eastAsia="Times New Roman"/>
        </w:rPr>
        <w:t>C</w:t>
      </w:r>
      <w:r w:rsidR="00E51B81" w:rsidRPr="006F707F">
        <w:rPr>
          <w:rFonts w:eastAsia="Times New Roman"/>
        </w:rPr>
        <w:t>omprehen</w:t>
      </w:r>
      <w:r w:rsidR="003824B2" w:rsidRPr="006F707F">
        <w:rPr>
          <w:rFonts w:eastAsia="Times New Roman"/>
        </w:rPr>
        <w:t xml:space="preserve">sive </w:t>
      </w:r>
      <w:r w:rsidR="00486C4A" w:rsidRPr="006F707F">
        <w:rPr>
          <w:rFonts w:eastAsia="Times New Roman"/>
        </w:rPr>
        <w:t>A</w:t>
      </w:r>
      <w:r w:rsidR="003824B2" w:rsidRPr="006F707F">
        <w:rPr>
          <w:rFonts w:eastAsia="Times New Roman"/>
        </w:rPr>
        <w:t xml:space="preserve">ssessment </w:t>
      </w:r>
      <w:r w:rsidR="00486C4A" w:rsidRPr="006F707F">
        <w:rPr>
          <w:rFonts w:eastAsia="Times New Roman"/>
        </w:rPr>
        <w:t>P</w:t>
      </w:r>
      <w:r w:rsidR="003824B2" w:rsidRPr="006F707F">
        <w:rPr>
          <w:rFonts w:eastAsia="Times New Roman"/>
        </w:rPr>
        <w:t>rogram (ACAP)</w:t>
      </w:r>
      <w:r w:rsidR="00486C4A" w:rsidRPr="006F707F">
        <w:rPr>
          <w:rFonts w:eastAsia="Times New Roman"/>
        </w:rPr>
        <w:t xml:space="preserve"> Alternate but whose </w:t>
      </w:r>
      <w:r w:rsidR="000A71CA" w:rsidRPr="006F707F">
        <w:rPr>
          <w:rFonts w:eastAsia="Times New Roman"/>
        </w:rPr>
        <w:t>i</w:t>
      </w:r>
      <w:r w:rsidR="00106310" w:rsidRPr="006F707F">
        <w:rPr>
          <w:rFonts w:eastAsia="Times New Roman"/>
        </w:rPr>
        <w:t>ndiv</w:t>
      </w:r>
      <w:r w:rsidR="00466CF2" w:rsidRPr="006F707F">
        <w:rPr>
          <w:rFonts w:eastAsia="Times New Roman"/>
        </w:rPr>
        <w:t xml:space="preserve">idualized </w:t>
      </w:r>
      <w:r w:rsidR="000A71CA" w:rsidRPr="006F707F">
        <w:rPr>
          <w:rFonts w:eastAsia="Times New Roman"/>
        </w:rPr>
        <w:t>e</w:t>
      </w:r>
      <w:r w:rsidR="00466CF2" w:rsidRPr="006F707F">
        <w:rPr>
          <w:rFonts w:eastAsia="Times New Roman"/>
        </w:rPr>
        <w:t xml:space="preserve">ducation </w:t>
      </w:r>
      <w:r w:rsidR="000A71CA" w:rsidRPr="006F707F">
        <w:rPr>
          <w:rFonts w:eastAsia="Times New Roman"/>
        </w:rPr>
        <w:t xml:space="preserve">program </w:t>
      </w:r>
      <w:r w:rsidR="00466CF2" w:rsidRPr="006F707F">
        <w:rPr>
          <w:rFonts w:eastAsia="Times New Roman"/>
        </w:rPr>
        <w:t>(IEP)</w:t>
      </w:r>
      <w:r w:rsidR="00486C4A" w:rsidRPr="006F707F">
        <w:rPr>
          <w:rFonts w:eastAsia="Times New Roman"/>
        </w:rPr>
        <w:t xml:space="preserve"> status changed to “inactive” when data were matched to 9th month enrollment.</w:t>
      </w:r>
    </w:p>
    <w:p w14:paraId="0AC6B4F6" w14:textId="2DDE8879" w:rsidR="00376555" w:rsidRPr="0099110B" w:rsidRDefault="00376555" w:rsidP="00FF05BC">
      <w:pPr>
        <w:pBdr>
          <w:bottom w:val="single" w:sz="12" w:space="1" w:color="365F91" w:themeColor="accent1" w:themeShade="BF"/>
        </w:pBdr>
        <w:spacing w:after="0" w:line="240" w:lineRule="auto"/>
        <w:outlineLvl w:val="0"/>
        <w:rPr>
          <w:rFonts w:eastAsiaTheme="majorEastAsia" w:cstheme="minorHAnsi"/>
          <w:b/>
          <w:bCs/>
          <w:color w:val="365F91" w:themeColor="accent1" w:themeShade="BF"/>
        </w:rPr>
      </w:pPr>
      <w:r w:rsidRPr="0099110B">
        <w:rPr>
          <w:rFonts w:eastAsia="Times New Roman" w:cstheme="minorHAnsi"/>
          <w:b/>
          <w:bCs/>
          <w:color w:val="000000" w:themeColor="text1"/>
        </w:rPr>
        <w:t>Alaska</w:t>
      </w:r>
    </w:p>
    <w:p w14:paraId="5B549364" w14:textId="222D9AC1" w:rsidR="00B02AB2" w:rsidRDefault="00376555" w:rsidP="00FF05BC">
      <w:pPr>
        <w:spacing w:after="0" w:line="240" w:lineRule="auto"/>
        <w:rPr>
          <w:rFonts w:cstheme="minorHAnsi"/>
        </w:rPr>
      </w:pPr>
      <w:r w:rsidRPr="0099110B">
        <w:rPr>
          <w:rFonts w:eastAsiaTheme="minorEastAsia" w:cstheme="minorHAnsi"/>
        </w:rPr>
        <w:t>-</w:t>
      </w:r>
      <w:r w:rsidR="00E61184">
        <w:rPr>
          <w:rFonts w:eastAsiaTheme="minorEastAsia" w:cstheme="minorHAnsi"/>
        </w:rPr>
        <w:t xml:space="preserve"> </w:t>
      </w:r>
      <w:r w:rsidR="009E21FA">
        <w:rPr>
          <w:rFonts w:eastAsia="Times New Roman"/>
        </w:rPr>
        <w:t>The State provided the following response(s) to large Year to Year change(s</w:t>
      </w:r>
      <w:r w:rsidR="009E21FA">
        <w:rPr>
          <w:rFonts w:cstheme="minorHAnsi"/>
        </w:rPr>
        <w:t>):</w:t>
      </w:r>
    </w:p>
    <w:p w14:paraId="318D47F3" w14:textId="56F9059E" w:rsidR="00486C4A" w:rsidRDefault="00486C4A" w:rsidP="00B5710C">
      <w:pPr>
        <w:pStyle w:val="ListParagraph"/>
        <w:numPr>
          <w:ilvl w:val="0"/>
          <w:numId w:val="1"/>
        </w:numPr>
      </w:pPr>
      <w:r w:rsidRPr="00486C4A">
        <w:t xml:space="preserve">More students in Alaska </w:t>
      </w:r>
      <w:r w:rsidR="00BA65EB">
        <w:t>p</w:t>
      </w:r>
      <w:r w:rsidR="00BA65EB" w:rsidRPr="00486C4A">
        <w:t xml:space="preserve">articipated </w:t>
      </w:r>
      <w:r w:rsidRPr="00486C4A">
        <w:t xml:space="preserve">in the </w:t>
      </w:r>
      <w:r w:rsidR="00F3466E">
        <w:t>statewide</w:t>
      </w:r>
      <w:r w:rsidRPr="00486C4A">
        <w:t xml:space="preserve"> summative assessment</w:t>
      </w:r>
      <w:r w:rsidR="00BA65EB">
        <w:t>,</w:t>
      </w:r>
      <w:r w:rsidRPr="00486C4A">
        <w:t xml:space="preserve"> including student</w:t>
      </w:r>
      <w:r w:rsidR="008949C8">
        <w:t>s</w:t>
      </w:r>
      <w:r w:rsidRPr="00486C4A">
        <w:t xml:space="preserve"> with disabilities and students taking the alternate assessment, than during </w:t>
      </w:r>
      <w:r w:rsidR="002355CD">
        <w:t>school year (</w:t>
      </w:r>
      <w:r w:rsidR="003D1473">
        <w:t>SY</w:t>
      </w:r>
      <w:r w:rsidR="002355CD">
        <w:t>)</w:t>
      </w:r>
      <w:r w:rsidR="003D1473">
        <w:t xml:space="preserve"> </w:t>
      </w:r>
      <w:r w:rsidRPr="00486C4A">
        <w:t>2020-21. This is attributed to more schools being open for in</w:t>
      </w:r>
      <w:r w:rsidR="003D1473">
        <w:t>-</w:t>
      </w:r>
      <w:r w:rsidRPr="00486C4A">
        <w:t xml:space="preserve">person learning for more of the school year in </w:t>
      </w:r>
      <w:r w:rsidR="003D1473">
        <w:t xml:space="preserve">SY </w:t>
      </w:r>
      <w:r w:rsidRPr="00486C4A">
        <w:t xml:space="preserve">2021-22 than </w:t>
      </w:r>
      <w:r w:rsidR="003D1473">
        <w:t xml:space="preserve">SY </w:t>
      </w:r>
      <w:r w:rsidRPr="00486C4A">
        <w:t>2020-21.</w:t>
      </w:r>
    </w:p>
    <w:p w14:paraId="79699E3F" w14:textId="63E8C867" w:rsidR="00150ACF" w:rsidRPr="00150ACF" w:rsidRDefault="00486C4A" w:rsidP="00150ACF">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A</w:t>
      </w:r>
      <w:r>
        <w:rPr>
          <w:rFonts w:eastAsia="Times New Roman" w:cstheme="minorHAnsi"/>
          <w:b/>
          <w:bCs/>
          <w:color w:val="000000" w:themeColor="text1"/>
        </w:rPr>
        <w:t>merican Samoa</w:t>
      </w:r>
    </w:p>
    <w:p w14:paraId="10AD492E" w14:textId="6BD39B08" w:rsidR="00F96015" w:rsidRDefault="00486C4A" w:rsidP="00F96015">
      <w:pPr>
        <w:spacing w:line="240" w:lineRule="auto"/>
        <w:rPr>
          <w:rFonts w:eastAsiaTheme="minorEastAsia" w:cstheme="minorHAnsi"/>
        </w:rPr>
      </w:pPr>
      <w:r w:rsidRPr="0099110B">
        <w:rPr>
          <w:rFonts w:eastAsiaTheme="minorEastAsia" w:cstheme="minorHAnsi"/>
        </w:rPr>
        <w:t>-</w:t>
      </w:r>
      <w:r w:rsidRPr="009E21FA">
        <w:rPr>
          <w:rFonts w:eastAsia="Times New Roman"/>
        </w:rPr>
        <w:t xml:space="preserve"> </w:t>
      </w:r>
      <w:r w:rsidR="00150ACF" w:rsidRPr="00F96015">
        <w:rPr>
          <w:rFonts w:eastAsia="Times New Roman" w:cstheme="minorHAnsi"/>
          <w:color w:val="000000"/>
        </w:rPr>
        <w:t xml:space="preserve">American Samoa does not submit </w:t>
      </w:r>
      <w:r w:rsidR="00F96015" w:rsidRPr="00F96015">
        <w:rPr>
          <w:rFonts w:eastAsia="Times New Roman" w:cstheme="minorHAnsi"/>
          <w:color w:val="000000"/>
        </w:rPr>
        <w:t xml:space="preserve">data under </w:t>
      </w:r>
      <w:r w:rsidR="00150ACF" w:rsidRPr="00F96015">
        <w:rPr>
          <w:rFonts w:eastAsia="Times New Roman" w:cstheme="minorHAnsi"/>
          <w:color w:val="000000"/>
        </w:rPr>
        <w:t>E</w:t>
      </w:r>
      <w:r w:rsidR="0095724F" w:rsidRPr="00F96015">
        <w:rPr>
          <w:rFonts w:eastAsia="Times New Roman" w:cstheme="minorHAnsi"/>
          <w:color w:val="000000"/>
        </w:rPr>
        <w:t xml:space="preserve">very </w:t>
      </w:r>
      <w:r w:rsidR="00150ACF" w:rsidRPr="00F96015">
        <w:rPr>
          <w:rFonts w:eastAsia="Times New Roman" w:cstheme="minorHAnsi"/>
          <w:color w:val="000000"/>
        </w:rPr>
        <w:t>S</w:t>
      </w:r>
      <w:r w:rsidR="0095724F" w:rsidRPr="00F96015">
        <w:rPr>
          <w:rFonts w:eastAsia="Times New Roman" w:cstheme="minorHAnsi"/>
          <w:color w:val="000000"/>
        </w:rPr>
        <w:t xml:space="preserve">tudent </w:t>
      </w:r>
      <w:r w:rsidR="00150ACF" w:rsidRPr="00F96015">
        <w:rPr>
          <w:rFonts w:eastAsia="Times New Roman" w:cstheme="minorHAnsi"/>
          <w:color w:val="000000"/>
        </w:rPr>
        <w:t>S</w:t>
      </w:r>
      <w:r w:rsidR="0095724F" w:rsidRPr="00F96015">
        <w:rPr>
          <w:rFonts w:eastAsia="Times New Roman" w:cstheme="minorHAnsi"/>
          <w:color w:val="000000"/>
        </w:rPr>
        <w:t xml:space="preserve">ucceeds </w:t>
      </w:r>
      <w:r w:rsidR="00150ACF" w:rsidRPr="00F96015">
        <w:rPr>
          <w:rFonts w:eastAsia="Times New Roman" w:cstheme="minorHAnsi"/>
          <w:color w:val="000000"/>
        </w:rPr>
        <w:t>A</w:t>
      </w:r>
      <w:r w:rsidR="0095724F" w:rsidRPr="00F96015">
        <w:rPr>
          <w:rFonts w:eastAsia="Times New Roman" w:cstheme="minorHAnsi"/>
          <w:color w:val="000000"/>
        </w:rPr>
        <w:t>ct (ESSA)</w:t>
      </w:r>
      <w:r w:rsidR="00AC049F" w:rsidRPr="00F96015">
        <w:rPr>
          <w:rFonts w:eastAsia="Times New Roman" w:cstheme="minorHAnsi"/>
          <w:color w:val="000000"/>
        </w:rPr>
        <w:t xml:space="preserve">. </w:t>
      </w:r>
      <w:r w:rsidR="00150ACF" w:rsidRPr="00F96015">
        <w:rPr>
          <w:rFonts w:eastAsia="Times New Roman" w:cstheme="minorHAnsi"/>
          <w:color w:val="000000"/>
        </w:rPr>
        <w:t xml:space="preserve">American Samoa only submits </w:t>
      </w:r>
      <w:r w:rsidR="00F96015" w:rsidRPr="00F96015">
        <w:rPr>
          <w:rFonts w:eastAsia="Times New Roman" w:cstheme="minorHAnsi"/>
          <w:color w:val="000000"/>
        </w:rPr>
        <w:t>assessment data on children with disabilities to the US Department of Education.</w:t>
      </w:r>
    </w:p>
    <w:p w14:paraId="7DBA900A" w14:textId="70AA3CEB" w:rsidR="00150ACF" w:rsidRDefault="00F96015" w:rsidP="00F96015">
      <w:pPr>
        <w:spacing w:line="240" w:lineRule="auto"/>
        <w:rPr>
          <w:rFonts w:eastAsiaTheme="minorEastAsia" w:cstheme="minorHAnsi"/>
        </w:rPr>
      </w:pPr>
      <w:r>
        <w:rPr>
          <w:rFonts w:eastAsiaTheme="minorEastAsia" w:cstheme="minorHAnsi"/>
        </w:rPr>
        <w:t xml:space="preserve">- </w:t>
      </w:r>
      <w:r w:rsidR="00150ACF" w:rsidRPr="00F96015">
        <w:rPr>
          <w:rFonts w:eastAsiaTheme="minorEastAsia" w:cstheme="minorHAnsi"/>
        </w:rPr>
        <w:t>All American Samoa students with disabilities are tested with accommodations.</w:t>
      </w:r>
    </w:p>
    <w:p w14:paraId="008C275F" w14:textId="77777777" w:rsidR="006F707F" w:rsidRPr="006F707F" w:rsidRDefault="006F707F" w:rsidP="006F707F">
      <w:pPr>
        <w:pStyle w:val="ListParagraph"/>
        <w:numPr>
          <w:ilvl w:val="0"/>
          <w:numId w:val="44"/>
        </w:numPr>
        <w:spacing w:line="240" w:lineRule="auto"/>
        <w:ind w:left="90" w:hanging="90"/>
      </w:pPr>
      <w:r w:rsidRPr="006F707F">
        <w:rPr>
          <w:rFonts w:eastAsiaTheme="minorEastAsia" w:cstheme="minorHAnsi"/>
        </w:rPr>
        <w:t>American Samoa does not test students with and without disabilities in grades 6 for mathematics or reading.</w:t>
      </w:r>
    </w:p>
    <w:p w14:paraId="55FC2D12" w14:textId="642A7B2A" w:rsidR="006F707F" w:rsidRPr="006F707F" w:rsidRDefault="006F707F" w:rsidP="006F707F">
      <w:pPr>
        <w:spacing w:line="240" w:lineRule="auto"/>
      </w:pPr>
      <w:r>
        <w:rPr>
          <w:rFonts w:eastAsiaTheme="minorEastAsia" w:cstheme="minorHAnsi"/>
        </w:rPr>
        <w:t xml:space="preserve">- </w:t>
      </w:r>
      <w:r w:rsidRPr="006F707F">
        <w:rPr>
          <w:rFonts w:eastAsiaTheme="minorEastAsia" w:cstheme="minorHAnsi"/>
        </w:rPr>
        <w:t>American Samoa does not test students with and without disabilities in grades 3 for mathematics.</w:t>
      </w:r>
    </w:p>
    <w:p w14:paraId="73339ABA" w14:textId="77777777" w:rsidR="00F96015" w:rsidRPr="006F707F" w:rsidRDefault="00F96015" w:rsidP="00F96015">
      <w:pPr>
        <w:pStyle w:val="ListParagraph"/>
        <w:numPr>
          <w:ilvl w:val="0"/>
          <w:numId w:val="44"/>
        </w:numPr>
        <w:spacing w:line="240" w:lineRule="auto"/>
        <w:ind w:left="90" w:hanging="90"/>
      </w:pPr>
      <w:r w:rsidRPr="00F96015">
        <w:rPr>
          <w:rFonts w:eastAsiaTheme="minorEastAsia" w:cstheme="minorHAnsi"/>
        </w:rPr>
        <w:t>American Samoa does not test students with and without disabilities in grades 4 for reading.</w:t>
      </w:r>
    </w:p>
    <w:p w14:paraId="17656BEF" w14:textId="77777777" w:rsidR="00B5710C" w:rsidRDefault="00B5710C" w:rsidP="006F707F">
      <w:pPr>
        <w:spacing w:line="240" w:lineRule="auto"/>
        <w:rPr>
          <w:rFonts w:eastAsia="Times New Roman"/>
        </w:rPr>
      </w:pPr>
      <w:r>
        <w:rPr>
          <w:rFonts w:eastAsia="Times New Roman"/>
        </w:rPr>
        <w:br w:type="page"/>
      </w:r>
    </w:p>
    <w:p w14:paraId="1448885A" w14:textId="77777777" w:rsidR="00B5710C" w:rsidRDefault="006F707F" w:rsidP="00B5710C">
      <w:pPr>
        <w:spacing w:after="0" w:line="240" w:lineRule="auto"/>
        <w:rPr>
          <w:rFonts w:eastAsiaTheme="minorEastAsia" w:cstheme="minorHAnsi"/>
        </w:rPr>
      </w:pPr>
      <w:r>
        <w:rPr>
          <w:rFonts w:eastAsia="Times New Roman"/>
        </w:rPr>
        <w:t xml:space="preserve">- </w:t>
      </w:r>
      <w:r w:rsidRPr="006F707F">
        <w:rPr>
          <w:rFonts w:eastAsia="Times New Roman"/>
        </w:rPr>
        <w:t>The State provided the following response(s) to large Year to Year change(s</w:t>
      </w:r>
      <w:r w:rsidRPr="006F707F">
        <w:rPr>
          <w:rFonts w:cstheme="minorHAnsi"/>
        </w:rPr>
        <w:t>):</w:t>
      </w:r>
    </w:p>
    <w:p w14:paraId="3B2F173C" w14:textId="18CD3A76" w:rsidR="001B0E6C" w:rsidRPr="00B5710C" w:rsidRDefault="006F707F" w:rsidP="00B5710C">
      <w:pPr>
        <w:pStyle w:val="ListParagraph"/>
        <w:numPr>
          <w:ilvl w:val="0"/>
          <w:numId w:val="1"/>
        </w:numPr>
        <w:spacing w:line="240" w:lineRule="auto"/>
        <w:rPr>
          <w:rFonts w:eastAsiaTheme="minorEastAsia" w:cstheme="minorHAnsi"/>
        </w:rPr>
      </w:pPr>
      <w:r w:rsidRPr="00B5710C">
        <w:rPr>
          <w:rFonts w:eastAsiaTheme="minorEastAsia" w:cstheme="minorHAnsi"/>
        </w:rPr>
        <w:t>American Samoa was isolated from the world and from COVID-19 infections until the beginning of calendar year 2022 when borders rules were relaxed. In February 2022, COVID-19 infection reached epidemic status in American Samoa. Schools closed on February 21, 2022, and were reopened in May to June 2022 in hybrid mode. As a result, state-wide assessments for grades 3, 4, and 8 were cancelled.</w:t>
      </w:r>
      <w:r w:rsidR="003869D5" w:rsidRPr="00B5710C">
        <w:rPr>
          <w:rFonts w:eastAsiaTheme="minorEastAsia" w:cstheme="minorHAnsi"/>
        </w:rPr>
        <w:t xml:space="preserve"> </w:t>
      </w:r>
      <w:r w:rsidR="001B0E6C" w:rsidRPr="00B5710C">
        <w:rPr>
          <w:rFonts w:eastAsiaTheme="minorEastAsia" w:cstheme="minorHAnsi"/>
        </w:rPr>
        <w:t xml:space="preserve">This explains the decrease </w:t>
      </w:r>
      <w:r w:rsidR="003A1577" w:rsidRPr="00B5710C">
        <w:rPr>
          <w:rFonts w:eastAsiaTheme="minorEastAsia" w:cstheme="minorHAnsi"/>
        </w:rPr>
        <w:t xml:space="preserve">in </w:t>
      </w:r>
      <w:r w:rsidR="001B0E6C" w:rsidRPr="00B5710C">
        <w:rPr>
          <w:rFonts w:eastAsiaTheme="minorEastAsia" w:cstheme="minorHAnsi"/>
        </w:rPr>
        <w:t>the number of students being as</w:t>
      </w:r>
      <w:r w:rsidR="002355CD" w:rsidRPr="00B5710C">
        <w:rPr>
          <w:rFonts w:eastAsiaTheme="minorEastAsia" w:cstheme="minorHAnsi"/>
        </w:rPr>
        <w:t>s</w:t>
      </w:r>
      <w:r w:rsidR="001B0E6C" w:rsidRPr="00B5710C">
        <w:rPr>
          <w:rFonts w:eastAsiaTheme="minorEastAsia" w:cstheme="minorHAnsi"/>
        </w:rPr>
        <w:t xml:space="preserve">essed in </w:t>
      </w:r>
      <w:r w:rsidR="002355CD" w:rsidRPr="00B5710C">
        <w:rPr>
          <w:rFonts w:eastAsiaTheme="minorEastAsia" w:cstheme="minorHAnsi"/>
        </w:rPr>
        <w:t>SY</w:t>
      </w:r>
      <w:r w:rsidR="001B0E6C" w:rsidRPr="00B5710C">
        <w:rPr>
          <w:rFonts w:eastAsiaTheme="minorEastAsia" w:cstheme="minorHAnsi"/>
        </w:rPr>
        <w:t xml:space="preserve"> 2</w:t>
      </w:r>
      <w:r w:rsidR="002355CD" w:rsidRPr="00B5710C">
        <w:rPr>
          <w:rFonts w:eastAsiaTheme="minorEastAsia" w:cstheme="minorHAnsi"/>
        </w:rPr>
        <w:t>02</w:t>
      </w:r>
      <w:r w:rsidR="001B0E6C" w:rsidRPr="00B5710C">
        <w:rPr>
          <w:rFonts w:eastAsiaTheme="minorEastAsia" w:cstheme="minorHAnsi"/>
        </w:rPr>
        <w:t>1-2</w:t>
      </w:r>
      <w:r w:rsidR="002355CD" w:rsidRPr="00B5710C">
        <w:rPr>
          <w:rFonts w:eastAsiaTheme="minorEastAsia" w:cstheme="minorHAnsi"/>
        </w:rPr>
        <w:t>02</w:t>
      </w:r>
      <w:r w:rsidR="001B0E6C" w:rsidRPr="00B5710C">
        <w:rPr>
          <w:rFonts w:eastAsiaTheme="minorEastAsia" w:cstheme="minorHAnsi"/>
        </w:rPr>
        <w:t>2.</w:t>
      </w:r>
    </w:p>
    <w:p w14:paraId="1C377D8B" w14:textId="480F09A5" w:rsidR="00766ED5" w:rsidRPr="0099110B" w:rsidRDefault="00766ED5"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Arizona</w:t>
      </w:r>
    </w:p>
    <w:p w14:paraId="5DFAB055" w14:textId="638B5D88" w:rsidR="006E0360" w:rsidRPr="005967F0" w:rsidRDefault="00A93F8F" w:rsidP="00FF05BC">
      <w:pPr>
        <w:spacing w:after="0" w:line="240" w:lineRule="auto"/>
        <w:rPr>
          <w:rFonts w:eastAsia="Times New Roman" w:cstheme="minorHAnsi"/>
          <w:color w:val="000000"/>
        </w:rPr>
      </w:pPr>
      <w:r w:rsidRPr="0099110B">
        <w:rPr>
          <w:rFonts w:eastAsiaTheme="minorEastAsia" w:cstheme="minorHAnsi"/>
        </w:rPr>
        <w:t>-</w:t>
      </w:r>
      <w:r w:rsidR="009E21FA" w:rsidRPr="009E21FA">
        <w:rPr>
          <w:rFonts w:eastAsia="Times New Roman"/>
        </w:rPr>
        <w:t xml:space="preserve"> </w:t>
      </w:r>
      <w:r w:rsidR="009E21FA">
        <w:rPr>
          <w:rFonts w:eastAsia="Times New Roman"/>
        </w:rPr>
        <w:t>The State provided the following response(s) to large Year to Year change(s</w:t>
      </w:r>
      <w:r w:rsidR="009E21FA">
        <w:rPr>
          <w:rFonts w:cstheme="minorHAnsi"/>
        </w:rPr>
        <w:t>):</w:t>
      </w:r>
    </w:p>
    <w:p w14:paraId="1E7818CC" w14:textId="23E5D518" w:rsidR="001B0E6C" w:rsidRPr="00080520" w:rsidRDefault="001B0E6C" w:rsidP="00080520">
      <w:pPr>
        <w:pStyle w:val="ListParagraph"/>
        <w:numPr>
          <w:ilvl w:val="0"/>
          <w:numId w:val="2"/>
        </w:numPr>
        <w:tabs>
          <w:tab w:val="left" w:pos="900"/>
        </w:tabs>
        <w:spacing w:line="240" w:lineRule="auto"/>
        <w:ind w:left="720"/>
        <w:rPr>
          <w:rFonts w:eastAsiaTheme="minorEastAsia" w:cstheme="minorHAnsi"/>
        </w:rPr>
      </w:pPr>
      <w:r w:rsidRPr="001B0E6C">
        <w:rPr>
          <w:rFonts w:eastAsia="Times New Roman" w:cstheme="minorHAnsi"/>
          <w:color w:val="000000"/>
        </w:rPr>
        <w:t xml:space="preserve">Student </w:t>
      </w:r>
      <w:r w:rsidR="00557B65">
        <w:rPr>
          <w:rFonts w:eastAsia="Times New Roman" w:cstheme="minorHAnsi"/>
          <w:color w:val="000000"/>
        </w:rPr>
        <w:t>p</w:t>
      </w:r>
      <w:r w:rsidRPr="001B0E6C">
        <w:rPr>
          <w:rFonts w:eastAsia="Times New Roman" w:cstheme="minorHAnsi"/>
          <w:color w:val="000000"/>
        </w:rPr>
        <w:t>articipation is in</w:t>
      </w:r>
      <w:r w:rsidR="00557B65">
        <w:rPr>
          <w:rFonts w:eastAsia="Times New Roman" w:cstheme="minorHAnsi"/>
          <w:color w:val="000000"/>
        </w:rPr>
        <w:t xml:space="preserve"> </w:t>
      </w:r>
      <w:r w:rsidRPr="001B0E6C">
        <w:rPr>
          <w:rFonts w:eastAsia="Times New Roman" w:cstheme="minorHAnsi"/>
          <w:color w:val="000000"/>
        </w:rPr>
        <w:t>line with the natural increase of students returning post COVID-19 in the state of Arizona.</w:t>
      </w:r>
    </w:p>
    <w:p w14:paraId="432CB6EF" w14:textId="22B6CB97" w:rsidR="0060259B" w:rsidRDefault="0060259B" w:rsidP="003869D5">
      <w:pPr>
        <w:pStyle w:val="ListParagraph"/>
        <w:numPr>
          <w:ilvl w:val="0"/>
          <w:numId w:val="2"/>
        </w:numPr>
        <w:spacing w:line="240" w:lineRule="auto"/>
        <w:ind w:left="720"/>
        <w:rPr>
          <w:rFonts w:eastAsiaTheme="minorEastAsia" w:cstheme="minorHAnsi"/>
        </w:rPr>
      </w:pPr>
      <w:r w:rsidRPr="001B0E6C">
        <w:rPr>
          <w:rFonts w:eastAsiaTheme="minorEastAsia" w:cstheme="minorHAnsi"/>
        </w:rPr>
        <w:t xml:space="preserve">In </w:t>
      </w:r>
      <w:r>
        <w:rPr>
          <w:rFonts w:eastAsiaTheme="minorEastAsia" w:cstheme="minorHAnsi"/>
        </w:rPr>
        <w:t>SY</w:t>
      </w:r>
      <w:r w:rsidRPr="001B0E6C">
        <w:rPr>
          <w:rFonts w:eastAsiaTheme="minorEastAsia" w:cstheme="minorHAnsi"/>
        </w:rPr>
        <w:t xml:space="preserve"> 2020</w:t>
      </w:r>
      <w:r>
        <w:rPr>
          <w:rFonts w:eastAsiaTheme="minorEastAsia" w:cstheme="minorHAnsi"/>
        </w:rPr>
        <w:t>-</w:t>
      </w:r>
      <w:r w:rsidRPr="001B0E6C">
        <w:rPr>
          <w:rFonts w:eastAsiaTheme="minorEastAsia" w:cstheme="minorHAnsi"/>
        </w:rPr>
        <w:t xml:space="preserve">21, Arizona received information from testing vendors that earmarked the assessments </w:t>
      </w:r>
      <w:r>
        <w:rPr>
          <w:rFonts w:eastAsiaTheme="minorEastAsia" w:cstheme="minorHAnsi"/>
        </w:rPr>
        <w:t>with</w:t>
      </w:r>
      <w:r w:rsidRPr="001B0E6C">
        <w:rPr>
          <w:rFonts w:eastAsiaTheme="minorEastAsia" w:cstheme="minorHAnsi"/>
        </w:rPr>
        <w:t xml:space="preserve"> universal features as accommodations. As such, this was corrected and now they are appropriately reported under the correct category for </w:t>
      </w:r>
      <w:r>
        <w:rPr>
          <w:rFonts w:eastAsiaTheme="minorEastAsia" w:cstheme="minorHAnsi"/>
        </w:rPr>
        <w:t>SY 2021-22</w:t>
      </w:r>
      <w:r w:rsidRPr="001B0E6C">
        <w:rPr>
          <w:rFonts w:eastAsiaTheme="minorEastAsia" w:cstheme="minorHAnsi"/>
        </w:rPr>
        <w:t>.</w:t>
      </w:r>
    </w:p>
    <w:p w14:paraId="6718D2C3" w14:textId="06736B31" w:rsidR="001B0E6C" w:rsidRPr="00B5710C" w:rsidRDefault="00B5710C" w:rsidP="00B5710C">
      <w:pPr>
        <w:spacing w:line="240" w:lineRule="auto"/>
        <w:rPr>
          <w:rFonts w:eastAsiaTheme="minorEastAsia" w:cstheme="minorHAnsi"/>
        </w:rPr>
      </w:pPr>
      <w:r>
        <w:rPr>
          <w:rFonts w:eastAsiaTheme="minorEastAsia" w:cstheme="minorHAnsi"/>
        </w:rPr>
        <w:t xml:space="preserve">- </w:t>
      </w:r>
      <w:r w:rsidR="003869D5" w:rsidRPr="00B5710C">
        <w:rPr>
          <w:rFonts w:eastAsiaTheme="minorEastAsia" w:cstheme="minorHAnsi"/>
        </w:rPr>
        <w:t xml:space="preserve">The difference between the number of valid scores reported at the SEA and LEA levels is due to students who are </w:t>
      </w:r>
      <w:proofErr w:type="spellStart"/>
      <w:r w:rsidR="003869D5" w:rsidRPr="00B5710C">
        <w:rPr>
          <w:rFonts w:eastAsiaTheme="minorEastAsia" w:cstheme="minorHAnsi"/>
        </w:rPr>
        <w:t>tuitioned</w:t>
      </w:r>
      <w:proofErr w:type="spellEnd"/>
      <w:r w:rsidR="003869D5" w:rsidRPr="00B5710C">
        <w:rPr>
          <w:rFonts w:eastAsiaTheme="minorEastAsia" w:cstheme="minorHAnsi"/>
        </w:rPr>
        <w:t xml:space="preserve"> to private schools, residential facilities, and non-traditional schools-like detention facilities.</w:t>
      </w:r>
      <w:r>
        <w:rPr>
          <w:rFonts w:eastAsiaTheme="minorEastAsia" w:cstheme="minorHAnsi"/>
        </w:rPr>
        <w:t xml:space="preserve"> </w:t>
      </w:r>
      <w:r w:rsidR="001B0E6C" w:rsidRPr="00B5710C">
        <w:rPr>
          <w:rFonts w:eastAsiaTheme="minorEastAsia" w:cstheme="minorHAnsi"/>
        </w:rPr>
        <w:t xml:space="preserve">Those types of entities are represented at the state level and not the </w:t>
      </w:r>
      <w:r w:rsidR="00C110FF" w:rsidRPr="00B5710C">
        <w:rPr>
          <w:rFonts w:eastAsiaTheme="minorEastAsia" w:cstheme="minorHAnsi"/>
        </w:rPr>
        <w:t>l</w:t>
      </w:r>
      <w:r w:rsidR="00867859" w:rsidRPr="00B5710C">
        <w:rPr>
          <w:rFonts w:eastAsiaTheme="minorEastAsia" w:cstheme="minorHAnsi"/>
        </w:rPr>
        <w:t xml:space="preserve">ocal </w:t>
      </w:r>
      <w:r w:rsidR="00C110FF" w:rsidRPr="00B5710C">
        <w:rPr>
          <w:rFonts w:eastAsiaTheme="minorEastAsia" w:cstheme="minorHAnsi"/>
        </w:rPr>
        <w:t>e</w:t>
      </w:r>
      <w:r w:rsidR="00867859" w:rsidRPr="00B5710C">
        <w:rPr>
          <w:rFonts w:eastAsiaTheme="minorEastAsia" w:cstheme="minorHAnsi"/>
        </w:rPr>
        <w:t xml:space="preserve">ducation </w:t>
      </w:r>
      <w:r w:rsidR="00C110FF" w:rsidRPr="00B5710C">
        <w:rPr>
          <w:rFonts w:eastAsiaTheme="minorEastAsia" w:cstheme="minorHAnsi"/>
        </w:rPr>
        <w:t>a</w:t>
      </w:r>
      <w:r w:rsidR="00867859" w:rsidRPr="00B5710C">
        <w:rPr>
          <w:rFonts w:eastAsiaTheme="minorEastAsia" w:cstheme="minorHAnsi"/>
        </w:rPr>
        <w:t>gency (LEA)</w:t>
      </w:r>
      <w:r w:rsidR="001B0E6C" w:rsidRPr="00B5710C">
        <w:rPr>
          <w:rFonts w:eastAsiaTheme="minorEastAsia" w:cstheme="minorHAnsi"/>
        </w:rPr>
        <w:t xml:space="preserve"> level.</w:t>
      </w:r>
    </w:p>
    <w:p w14:paraId="646E967A" w14:textId="77777777" w:rsidR="00DD1BDD" w:rsidRPr="0099110B" w:rsidRDefault="00DD1BDD"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bookmarkStart w:id="2" w:name="_Hlk137048137"/>
      <w:r w:rsidRPr="0099110B">
        <w:rPr>
          <w:rFonts w:eastAsia="Times New Roman" w:cstheme="minorHAnsi"/>
          <w:b/>
          <w:bCs/>
          <w:color w:val="000000" w:themeColor="text1"/>
        </w:rPr>
        <w:t>Arkansas</w:t>
      </w:r>
    </w:p>
    <w:p w14:paraId="2A353D4E" w14:textId="77777777" w:rsidR="00523944" w:rsidRDefault="0083580F" w:rsidP="00523944">
      <w:pPr>
        <w:spacing w:after="0" w:line="240" w:lineRule="auto"/>
        <w:rPr>
          <w:rFonts w:eastAsia="Times New Roman" w:cstheme="minorHAnsi"/>
          <w:color w:val="000000"/>
        </w:rPr>
      </w:pPr>
      <w:r w:rsidRPr="0099110B">
        <w:rPr>
          <w:rFonts w:eastAsia="Times New Roman" w:cstheme="minorHAnsi"/>
          <w:color w:val="000000"/>
        </w:rPr>
        <w:t>-</w:t>
      </w:r>
      <w:r w:rsidR="009E21FA" w:rsidRPr="00FF05BC">
        <w:rPr>
          <w:rFonts w:eastAsia="Times New Roman" w:cstheme="minorHAnsi"/>
          <w:color w:val="000000"/>
        </w:rPr>
        <w:t xml:space="preserve"> The State provided the following response(s) to large Year to Year change(s):</w:t>
      </w:r>
    </w:p>
    <w:p w14:paraId="249B5B04" w14:textId="7E6FC996" w:rsidR="001B0E6C" w:rsidRPr="00523944" w:rsidRDefault="001B0E6C" w:rsidP="00523944">
      <w:pPr>
        <w:pStyle w:val="ListParagraph"/>
        <w:numPr>
          <w:ilvl w:val="0"/>
          <w:numId w:val="39"/>
        </w:numPr>
        <w:spacing w:line="240" w:lineRule="auto"/>
        <w:rPr>
          <w:rFonts w:eastAsia="Times New Roman" w:cstheme="minorHAnsi"/>
          <w:color w:val="000000"/>
        </w:rPr>
      </w:pPr>
      <w:r w:rsidRPr="00523944">
        <w:rPr>
          <w:rFonts w:eastAsia="Times New Roman" w:cstheme="minorHAnsi"/>
          <w:color w:val="000000"/>
        </w:rPr>
        <w:t>The current regular assessment has a wide range of accessibility features available for all students. In prior years</w:t>
      </w:r>
      <w:r w:rsidR="00F063F4">
        <w:rPr>
          <w:rFonts w:eastAsia="Times New Roman" w:cstheme="minorHAnsi"/>
          <w:color w:val="000000"/>
        </w:rPr>
        <w:t>,</w:t>
      </w:r>
      <w:r w:rsidRPr="00523944">
        <w:rPr>
          <w:rFonts w:eastAsia="Times New Roman" w:cstheme="minorHAnsi"/>
          <w:color w:val="000000"/>
        </w:rPr>
        <w:t xml:space="preserve"> these supports were called accommodations and were only available to students with IEPs.</w:t>
      </w:r>
      <w:r w:rsidR="004245E1">
        <w:rPr>
          <w:rFonts w:eastAsia="Times New Roman" w:cstheme="minorHAnsi"/>
          <w:color w:val="000000"/>
        </w:rPr>
        <w:t xml:space="preserve"> </w:t>
      </w:r>
      <w:r w:rsidRPr="00523944">
        <w:rPr>
          <w:rFonts w:eastAsia="Times New Roman" w:cstheme="minorHAnsi"/>
          <w:color w:val="000000"/>
        </w:rPr>
        <w:t>Since these accessibility features are available for all students, they were not listed/selected in the personal needs profile for the assessment as general accommodations, and the testing company did not flag the accessibility features as special education accommodations. This does not mean that students didn’t have access to their accommodations</w:t>
      </w:r>
      <w:r w:rsidR="002A2BC2">
        <w:rPr>
          <w:rFonts w:eastAsia="Times New Roman" w:cstheme="minorHAnsi"/>
          <w:color w:val="000000"/>
        </w:rPr>
        <w:t>;</w:t>
      </w:r>
      <w:r w:rsidRPr="00523944">
        <w:rPr>
          <w:rFonts w:eastAsia="Times New Roman" w:cstheme="minorHAnsi"/>
          <w:color w:val="000000"/>
        </w:rPr>
        <w:t xml:space="preserve"> the assessment profile did not specifically identify them as a special education accommodation, resulting in a lower number of students being reported as being assessed with accommodations.</w:t>
      </w:r>
    </w:p>
    <w:bookmarkEnd w:id="2"/>
    <w:p w14:paraId="498C276C" w14:textId="77777777" w:rsidR="00004A72" w:rsidRPr="0099110B" w:rsidRDefault="00004A72" w:rsidP="005239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Bureau of Indian Education</w:t>
      </w:r>
    </w:p>
    <w:p w14:paraId="664A7C1C" w14:textId="7344576D" w:rsidR="005A23D5" w:rsidRDefault="005A23D5" w:rsidP="00523944">
      <w:pPr>
        <w:spacing w:line="240" w:lineRule="auto"/>
        <w:rPr>
          <w:rFonts w:eastAsia="Times New Roman" w:cstheme="minorHAnsi"/>
          <w:color w:val="000000"/>
        </w:rPr>
      </w:pPr>
      <w:r w:rsidRPr="0099110B">
        <w:rPr>
          <w:rFonts w:eastAsia="Times New Roman" w:cstheme="minorHAnsi"/>
          <w:color w:val="000000"/>
        </w:rPr>
        <w:t>- The B</w:t>
      </w:r>
      <w:r w:rsidR="00F063F4">
        <w:rPr>
          <w:rFonts w:eastAsia="Times New Roman" w:cstheme="minorHAnsi"/>
          <w:color w:val="000000"/>
        </w:rPr>
        <w:t xml:space="preserve">ureau of </w:t>
      </w:r>
      <w:r w:rsidRPr="0099110B">
        <w:rPr>
          <w:rFonts w:eastAsia="Times New Roman" w:cstheme="minorHAnsi"/>
          <w:color w:val="000000"/>
        </w:rPr>
        <w:t>I</w:t>
      </w:r>
      <w:r w:rsidR="00F063F4">
        <w:rPr>
          <w:rFonts w:eastAsia="Times New Roman" w:cstheme="minorHAnsi"/>
          <w:color w:val="000000"/>
        </w:rPr>
        <w:t xml:space="preserve">ndian </w:t>
      </w:r>
      <w:r w:rsidRPr="0099110B">
        <w:rPr>
          <w:rFonts w:eastAsia="Times New Roman" w:cstheme="minorHAnsi"/>
          <w:color w:val="000000"/>
        </w:rPr>
        <w:t>E</w:t>
      </w:r>
      <w:r w:rsidR="00F063F4">
        <w:rPr>
          <w:rFonts w:eastAsia="Times New Roman" w:cstheme="minorHAnsi"/>
          <w:color w:val="000000"/>
        </w:rPr>
        <w:t>ducation (BIE)</w:t>
      </w:r>
      <w:r w:rsidRPr="0099110B">
        <w:rPr>
          <w:rFonts w:eastAsia="Times New Roman" w:cstheme="minorHAnsi"/>
          <w:color w:val="000000"/>
        </w:rPr>
        <w:t xml:space="preserve"> is currently implementing and reporting state assessments across the 23 states in which BIE schools are located per</w:t>
      </w:r>
      <w:r w:rsidR="008949C8">
        <w:rPr>
          <w:rFonts w:eastAsia="Times New Roman" w:cstheme="minorHAnsi"/>
          <w:color w:val="000000"/>
        </w:rPr>
        <w:t xml:space="preserve"> The Code of Federal Regulations Title 25</w:t>
      </w:r>
      <w:r w:rsidR="00135935">
        <w:rPr>
          <w:rFonts w:eastAsia="Times New Roman" w:cstheme="minorHAnsi"/>
          <w:color w:val="000000"/>
        </w:rPr>
        <w:t>.</w:t>
      </w:r>
    </w:p>
    <w:p w14:paraId="5F483B7B" w14:textId="2D67B39E" w:rsidR="00C81B95" w:rsidRPr="0099110B" w:rsidRDefault="00A17652" w:rsidP="00C81B95">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California</w:t>
      </w:r>
    </w:p>
    <w:p w14:paraId="711ECC5A" w14:textId="0F92660E" w:rsidR="00C81B95" w:rsidRPr="005967F0" w:rsidRDefault="00C81B95" w:rsidP="00684D7E">
      <w:pPr>
        <w:spacing w:after="0" w:line="240" w:lineRule="auto"/>
        <w:rPr>
          <w:rFonts w:eastAsia="Times New Roman" w:cstheme="minorHAnsi"/>
          <w:color w:val="000000"/>
        </w:rPr>
      </w:pPr>
      <w:r>
        <w:rPr>
          <w:rFonts w:eastAsia="Times New Roman"/>
        </w:rPr>
        <w:t>- The State provided the following response(s) to large Year to Year change(s</w:t>
      </w:r>
      <w:r>
        <w:rPr>
          <w:rFonts w:cstheme="minorHAnsi"/>
        </w:rPr>
        <w:t>):</w:t>
      </w:r>
    </w:p>
    <w:p w14:paraId="54750C2B" w14:textId="77777777" w:rsidR="00135935" w:rsidRDefault="00C81B95">
      <w:pPr>
        <w:pStyle w:val="ListParagraph"/>
        <w:numPr>
          <w:ilvl w:val="0"/>
          <w:numId w:val="2"/>
        </w:numPr>
        <w:spacing w:line="240" w:lineRule="auto"/>
        <w:ind w:left="720"/>
        <w:rPr>
          <w:rFonts w:eastAsiaTheme="minorEastAsia" w:cstheme="minorHAnsi"/>
        </w:rPr>
      </w:pPr>
      <w:r w:rsidRPr="00C81B95">
        <w:rPr>
          <w:rFonts w:eastAsiaTheme="minorEastAsia" w:cstheme="minorHAnsi"/>
        </w:rPr>
        <w:t>There was a reduction in statewide asses</w:t>
      </w:r>
      <w:r w:rsidR="00F3466E">
        <w:rPr>
          <w:rFonts w:eastAsiaTheme="minorEastAsia" w:cstheme="minorHAnsi"/>
        </w:rPr>
        <w:t>s</w:t>
      </w:r>
      <w:r w:rsidRPr="00C81B95">
        <w:rPr>
          <w:rFonts w:eastAsiaTheme="minorEastAsia" w:cstheme="minorHAnsi"/>
        </w:rPr>
        <w:t xml:space="preserve">ment participation in </w:t>
      </w:r>
      <w:r w:rsidR="00F3466E">
        <w:rPr>
          <w:rFonts w:eastAsiaTheme="minorEastAsia" w:cstheme="minorHAnsi"/>
        </w:rPr>
        <w:t xml:space="preserve">SY </w:t>
      </w:r>
      <w:r w:rsidRPr="00C81B95">
        <w:rPr>
          <w:rFonts w:eastAsiaTheme="minorEastAsia" w:cstheme="minorHAnsi"/>
        </w:rPr>
        <w:t>2020-21 due to the novel coronavirus (COVID-19) pandemic, which made it not viable for many</w:t>
      </w:r>
      <w:r w:rsidR="00660006">
        <w:rPr>
          <w:rFonts w:eastAsiaTheme="minorEastAsia" w:cstheme="minorHAnsi"/>
        </w:rPr>
        <w:t xml:space="preserve"> </w:t>
      </w:r>
      <w:r w:rsidRPr="00C81B95">
        <w:rPr>
          <w:rFonts w:eastAsiaTheme="minorEastAsia" w:cstheme="minorHAnsi"/>
        </w:rPr>
        <w:t xml:space="preserve">LEAs to administer the assessments. In addition, because the individualizations available for the alternate assessments require in-person administration, participation in these assessments was also low. Statewide assessment administration returned to typical processes in </w:t>
      </w:r>
      <w:r w:rsidR="00F3466E">
        <w:rPr>
          <w:rFonts w:eastAsiaTheme="minorEastAsia" w:cstheme="minorHAnsi"/>
        </w:rPr>
        <w:t xml:space="preserve">SY </w:t>
      </w:r>
      <w:r w:rsidRPr="00C81B95">
        <w:rPr>
          <w:rFonts w:eastAsiaTheme="minorEastAsia" w:cstheme="minorHAnsi"/>
        </w:rPr>
        <w:t>2021-22 which changed the percentages in all areas compared to</w:t>
      </w:r>
      <w:r w:rsidR="00F3466E">
        <w:rPr>
          <w:rFonts w:eastAsiaTheme="minorEastAsia" w:cstheme="minorHAnsi"/>
        </w:rPr>
        <w:t xml:space="preserve"> SY</w:t>
      </w:r>
      <w:r w:rsidR="004245E1">
        <w:rPr>
          <w:rFonts w:eastAsiaTheme="minorEastAsia" w:cstheme="minorHAnsi"/>
        </w:rPr>
        <w:t xml:space="preserve"> </w:t>
      </w:r>
      <w:r w:rsidRPr="00C81B95">
        <w:rPr>
          <w:rFonts w:eastAsiaTheme="minorEastAsia" w:cstheme="minorHAnsi"/>
        </w:rPr>
        <w:t>2020-21.</w:t>
      </w:r>
    </w:p>
    <w:p w14:paraId="35AA3F39" w14:textId="6E29CB9C" w:rsidR="00135935" w:rsidRDefault="00135935" w:rsidP="00135935">
      <w:pPr>
        <w:pStyle w:val="ListParagraph"/>
        <w:numPr>
          <w:ilvl w:val="0"/>
          <w:numId w:val="2"/>
        </w:numPr>
        <w:spacing w:line="240" w:lineRule="auto"/>
        <w:ind w:left="720"/>
        <w:rPr>
          <w:rFonts w:eastAsiaTheme="minorEastAsia" w:cstheme="minorHAnsi"/>
        </w:rPr>
      </w:pPr>
      <w:r>
        <w:rPr>
          <w:rFonts w:eastAsiaTheme="minorEastAsia" w:cstheme="minorHAnsi"/>
        </w:rPr>
        <w:br w:type="page"/>
      </w:r>
    </w:p>
    <w:p w14:paraId="53F2932D" w14:textId="77777777" w:rsidR="00576E1F" w:rsidRPr="0099110B" w:rsidRDefault="00576E1F"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Colorado</w:t>
      </w:r>
    </w:p>
    <w:p w14:paraId="29C5719B" w14:textId="7E61D3E4" w:rsidR="00C81B95" w:rsidRDefault="00D66948" w:rsidP="00972219">
      <w:pPr>
        <w:spacing w:after="0" w:line="240" w:lineRule="auto"/>
        <w:rPr>
          <w:rFonts w:eastAsia="Times New Roman" w:cstheme="minorHAnsi"/>
          <w:color w:val="000000"/>
        </w:rPr>
      </w:pPr>
      <w:r w:rsidRPr="00FF05BC">
        <w:rPr>
          <w:rFonts w:eastAsia="Times New Roman" w:cstheme="minorHAnsi"/>
          <w:color w:val="000000"/>
        </w:rPr>
        <w:t>-</w:t>
      </w:r>
      <w:r w:rsidR="00E61184" w:rsidRPr="00FF05BC">
        <w:rPr>
          <w:rFonts w:eastAsia="Times New Roman" w:cstheme="minorHAnsi"/>
          <w:color w:val="000000"/>
        </w:rPr>
        <w:t xml:space="preserve"> </w:t>
      </w:r>
      <w:r w:rsidR="006E0360" w:rsidRPr="00FF05BC">
        <w:rPr>
          <w:rFonts w:eastAsia="Times New Roman" w:cstheme="minorHAnsi"/>
          <w:color w:val="000000"/>
        </w:rPr>
        <w:t>The State provided the following response(s) to large Year to Year change(s)</w:t>
      </w:r>
      <w:r w:rsidR="00631BC7" w:rsidRPr="00FF05BC">
        <w:rPr>
          <w:rFonts w:eastAsia="Times New Roman" w:cstheme="minorHAnsi"/>
          <w:color w:val="000000"/>
        </w:rPr>
        <w:t>:</w:t>
      </w:r>
    </w:p>
    <w:p w14:paraId="02B030A5" w14:textId="43F2CE57" w:rsidR="005E4954" w:rsidRPr="00C81B95" w:rsidRDefault="00C81B95" w:rsidP="00C242B6">
      <w:pPr>
        <w:pStyle w:val="ListParagraph"/>
        <w:numPr>
          <w:ilvl w:val="0"/>
          <w:numId w:val="22"/>
        </w:numPr>
        <w:spacing w:line="240" w:lineRule="auto"/>
        <w:rPr>
          <w:rFonts w:eastAsia="Times New Roman" w:cstheme="minorHAnsi"/>
          <w:color w:val="000000"/>
        </w:rPr>
      </w:pPr>
      <w:r w:rsidRPr="00C81B95">
        <w:rPr>
          <w:rFonts w:eastAsia="Times New Roman" w:cstheme="minorHAnsi"/>
          <w:color w:val="000000"/>
        </w:rPr>
        <w:lastRenderedPageBreak/>
        <w:t xml:space="preserve">Per Colorado's </w:t>
      </w:r>
      <w:r w:rsidR="009E4F41">
        <w:rPr>
          <w:rFonts w:eastAsia="Times New Roman" w:cstheme="minorHAnsi"/>
          <w:color w:val="000000"/>
        </w:rPr>
        <w:t xml:space="preserve">SY </w:t>
      </w:r>
      <w:r w:rsidRPr="00C81B95">
        <w:rPr>
          <w:rFonts w:eastAsia="Times New Roman" w:cstheme="minorHAnsi"/>
          <w:color w:val="000000"/>
        </w:rPr>
        <w:t>20</w:t>
      </w:r>
      <w:r w:rsidR="009E4F41">
        <w:rPr>
          <w:rFonts w:eastAsia="Times New Roman" w:cstheme="minorHAnsi"/>
          <w:color w:val="000000"/>
        </w:rPr>
        <w:t>20-</w:t>
      </w:r>
      <w:r w:rsidRPr="00C81B95">
        <w:rPr>
          <w:rFonts w:eastAsia="Times New Roman" w:cstheme="minorHAnsi"/>
          <w:color w:val="000000"/>
        </w:rPr>
        <w:t xml:space="preserve">21 federal assessment waiver, the state's </w:t>
      </w:r>
      <w:r w:rsidR="009E4F41">
        <w:rPr>
          <w:rFonts w:eastAsia="Times New Roman" w:cstheme="minorHAnsi"/>
          <w:color w:val="000000"/>
        </w:rPr>
        <w:t>m</w:t>
      </w:r>
      <w:r w:rsidRPr="00C81B95">
        <w:rPr>
          <w:rFonts w:eastAsia="Times New Roman" w:cstheme="minorHAnsi"/>
          <w:color w:val="000000"/>
        </w:rPr>
        <w:t>athematics assessment was provided on a voluntary basis in grades 3, 5, and 7</w:t>
      </w:r>
      <w:r w:rsidR="0085590F">
        <w:rPr>
          <w:rFonts w:eastAsia="Times New Roman" w:cstheme="minorHAnsi"/>
          <w:color w:val="000000"/>
        </w:rPr>
        <w:t>,</w:t>
      </w:r>
      <w:r w:rsidRPr="00C81B95">
        <w:rPr>
          <w:rFonts w:eastAsia="Times New Roman" w:cstheme="minorHAnsi"/>
          <w:color w:val="000000"/>
        </w:rPr>
        <w:t xml:space="preserve"> </w:t>
      </w:r>
      <w:r w:rsidR="00857526">
        <w:rPr>
          <w:rFonts w:eastAsia="Times New Roman" w:cstheme="minorHAnsi"/>
          <w:color w:val="000000"/>
        </w:rPr>
        <w:t xml:space="preserve">and the state’s </w:t>
      </w:r>
      <w:r w:rsidR="006C7A91">
        <w:rPr>
          <w:rFonts w:eastAsia="Times New Roman" w:cstheme="minorHAnsi"/>
          <w:color w:val="000000"/>
        </w:rPr>
        <w:t xml:space="preserve">reading/language arts </w:t>
      </w:r>
      <w:r w:rsidR="003521B6">
        <w:rPr>
          <w:rFonts w:eastAsia="Times New Roman" w:cstheme="minorHAnsi"/>
          <w:color w:val="000000"/>
        </w:rPr>
        <w:t xml:space="preserve">(RLA) </w:t>
      </w:r>
      <w:r w:rsidR="006C7A91">
        <w:rPr>
          <w:rFonts w:eastAsia="Times New Roman" w:cstheme="minorHAnsi"/>
          <w:color w:val="000000"/>
        </w:rPr>
        <w:t xml:space="preserve">assessment was provided on a voluntary </w:t>
      </w:r>
      <w:r w:rsidR="002A2BC2">
        <w:rPr>
          <w:rFonts w:eastAsia="Times New Roman" w:cstheme="minorHAnsi"/>
          <w:color w:val="000000"/>
        </w:rPr>
        <w:t>basis</w:t>
      </w:r>
      <w:r w:rsidR="006C7A91">
        <w:rPr>
          <w:rFonts w:eastAsia="Times New Roman" w:cstheme="minorHAnsi"/>
          <w:color w:val="000000"/>
        </w:rPr>
        <w:t xml:space="preserve"> in grades 4, 6, and 8</w:t>
      </w:r>
      <w:r w:rsidR="0085590F">
        <w:rPr>
          <w:rFonts w:eastAsia="Times New Roman" w:cstheme="minorHAnsi"/>
          <w:color w:val="000000"/>
        </w:rPr>
        <w:t>,</w:t>
      </w:r>
      <w:r w:rsidR="006C7A91">
        <w:rPr>
          <w:rFonts w:eastAsia="Times New Roman" w:cstheme="minorHAnsi"/>
          <w:color w:val="000000"/>
        </w:rPr>
        <w:t xml:space="preserve"> </w:t>
      </w:r>
      <w:r w:rsidRPr="00C81B95">
        <w:rPr>
          <w:rFonts w:eastAsia="Times New Roman" w:cstheme="minorHAnsi"/>
          <w:color w:val="000000"/>
        </w:rPr>
        <w:t>in spring 2021.</w:t>
      </w:r>
      <w:r w:rsidR="004245E1">
        <w:rPr>
          <w:rFonts w:eastAsia="Times New Roman" w:cstheme="minorHAnsi"/>
          <w:color w:val="000000"/>
        </w:rPr>
        <w:t xml:space="preserve">  </w:t>
      </w:r>
      <w:r w:rsidRPr="00C81B95">
        <w:rPr>
          <w:rFonts w:eastAsia="Times New Roman" w:cstheme="minorHAnsi"/>
          <w:color w:val="000000"/>
        </w:rPr>
        <w:t>Extremely low student participation in the voluntary grade levels combined with lower than typical participation in other grade levels due to ongoing school disruptions caused by the COVID-19 pandemic resulted in lower than typical participation in state assessments overall and student demographic subgroups.</w:t>
      </w:r>
      <w:r w:rsidR="004245E1">
        <w:rPr>
          <w:rFonts w:eastAsia="Times New Roman" w:cstheme="minorHAnsi"/>
          <w:color w:val="000000"/>
        </w:rPr>
        <w:t xml:space="preserve"> </w:t>
      </w:r>
      <w:r w:rsidRPr="00C81B95">
        <w:rPr>
          <w:rFonts w:eastAsia="Times New Roman" w:cstheme="minorHAnsi"/>
          <w:color w:val="000000"/>
        </w:rPr>
        <w:t>In 2021, participation in Colorado’s state assessments varied widely within and across districts and student groups. Given the overall low and wide variance in participation, data from this assessment should not be used for all historical comparative purposes across districts, schools, student groups and/or years</w:t>
      </w:r>
      <w:r>
        <w:rPr>
          <w:rFonts w:eastAsia="Times New Roman" w:cstheme="minorHAnsi"/>
          <w:color w:val="000000"/>
        </w:rPr>
        <w:t xml:space="preserve">. </w:t>
      </w:r>
      <w:r w:rsidRPr="00C81B95">
        <w:rPr>
          <w:rFonts w:eastAsia="Times New Roman" w:cstheme="minorHAnsi"/>
          <w:color w:val="000000"/>
        </w:rPr>
        <w:t>In spring 2022, statewide participation in assessments returned to more typical patterns.</w:t>
      </w:r>
    </w:p>
    <w:p w14:paraId="47F498FC" w14:textId="77777777" w:rsidR="008A674C" w:rsidRPr="0099110B" w:rsidRDefault="008A674C"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Connecticut</w:t>
      </w:r>
    </w:p>
    <w:p w14:paraId="6E764FF7" w14:textId="0A0AC37F" w:rsidR="00C81B95" w:rsidRDefault="00E831F1" w:rsidP="00972219">
      <w:pPr>
        <w:spacing w:after="0" w:line="240" w:lineRule="auto"/>
        <w:rPr>
          <w:rFonts w:eastAsiaTheme="minorEastAsia" w:cstheme="minorHAnsi"/>
        </w:rPr>
      </w:pPr>
      <w:r w:rsidRPr="0099110B">
        <w:rPr>
          <w:rFonts w:eastAsiaTheme="minorEastAsia" w:cstheme="minorHAnsi"/>
        </w:rPr>
        <w:t>-</w:t>
      </w:r>
      <w:r w:rsidR="00E61184">
        <w:rPr>
          <w:rFonts w:eastAsiaTheme="minorEastAsia" w:cstheme="minorHAnsi"/>
        </w:rPr>
        <w:t xml:space="preserve"> </w:t>
      </w:r>
      <w:r w:rsidR="00367298">
        <w:rPr>
          <w:rFonts w:eastAsiaTheme="minorEastAsia" w:cstheme="minorHAnsi"/>
        </w:rPr>
        <w:t xml:space="preserve">The </w:t>
      </w:r>
      <w:r w:rsidR="00CA4A4B">
        <w:rPr>
          <w:rFonts w:eastAsiaTheme="minorEastAsia" w:cstheme="minorHAnsi"/>
        </w:rPr>
        <w:t>State provided the following response(s) to large Year to Year change(s)</w:t>
      </w:r>
      <w:r w:rsidRPr="0099110B">
        <w:rPr>
          <w:rFonts w:eastAsiaTheme="minorEastAsia" w:cstheme="minorHAnsi"/>
        </w:rPr>
        <w:t>:</w:t>
      </w:r>
    </w:p>
    <w:p w14:paraId="52FCEB1F" w14:textId="51975189" w:rsidR="00C81B95" w:rsidRPr="00C81B95" w:rsidRDefault="00C81B95" w:rsidP="00BB20E4">
      <w:pPr>
        <w:pStyle w:val="ListParagraph"/>
        <w:numPr>
          <w:ilvl w:val="0"/>
          <w:numId w:val="24"/>
        </w:numPr>
        <w:spacing w:line="240" w:lineRule="auto"/>
        <w:rPr>
          <w:rFonts w:eastAsia="Times New Roman" w:cstheme="minorHAnsi"/>
          <w:color w:val="000000"/>
        </w:rPr>
      </w:pPr>
      <w:r w:rsidRPr="00C81B95">
        <w:rPr>
          <w:rFonts w:eastAsia="Times New Roman" w:cstheme="minorHAnsi"/>
          <w:color w:val="000000"/>
        </w:rPr>
        <w:t>The increases in counts of students assessed reflects a return to pre-pandemic levels of participation on statewide assessments with the return to full in-person learning</w:t>
      </w:r>
      <w:r w:rsidR="00055B34">
        <w:rPr>
          <w:rFonts w:eastAsia="Times New Roman" w:cstheme="minorHAnsi"/>
          <w:color w:val="000000"/>
        </w:rPr>
        <w:t>.</w:t>
      </w:r>
    </w:p>
    <w:p w14:paraId="7BDB8397" w14:textId="77777777" w:rsidR="005A6D62" w:rsidRPr="0099110B" w:rsidRDefault="005A6D62"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Florida</w:t>
      </w:r>
    </w:p>
    <w:p w14:paraId="2ACD3895" w14:textId="0BEC7117" w:rsidR="009C7DFD" w:rsidRPr="0032620D" w:rsidRDefault="009C7DFD" w:rsidP="00080520">
      <w:pPr>
        <w:spacing w:line="240" w:lineRule="auto"/>
        <w:rPr>
          <w:rFonts w:eastAsiaTheme="minorEastAsia" w:cstheme="minorHAnsi"/>
        </w:rPr>
      </w:pPr>
      <w:r>
        <w:rPr>
          <w:rFonts w:eastAsiaTheme="minorEastAsia" w:cstheme="minorHAnsi"/>
        </w:rPr>
        <w:t xml:space="preserve">- </w:t>
      </w:r>
      <w:r w:rsidR="0032620D" w:rsidRPr="0032620D">
        <w:rPr>
          <w:rFonts w:eastAsiaTheme="minorEastAsia" w:cstheme="minorHAnsi"/>
        </w:rPr>
        <w:t>Beginning with the SY 2018-19 reporting cycle, several grades replaced computer-based testing with paper-based testing. Under the old computer-based tests, students were allowed to make various adjustments to the user interface -- such as to color contrast and text size -- which were treated as accommodations. With the move to paper-based testing, these features are no longer available</w:t>
      </w:r>
      <w:r w:rsidR="002A2BC2">
        <w:rPr>
          <w:rFonts w:eastAsiaTheme="minorEastAsia" w:cstheme="minorHAnsi"/>
        </w:rPr>
        <w:t>;</w:t>
      </w:r>
      <w:r w:rsidR="0032620D" w:rsidRPr="0032620D">
        <w:rPr>
          <w:rFonts w:eastAsiaTheme="minorEastAsia" w:cstheme="minorHAnsi"/>
        </w:rPr>
        <w:t xml:space="preserve"> </w:t>
      </w:r>
      <w:r w:rsidR="002A2BC2">
        <w:rPr>
          <w:rFonts w:eastAsiaTheme="minorEastAsia" w:cstheme="minorHAnsi"/>
        </w:rPr>
        <w:t>therefore,</w:t>
      </w:r>
      <w:r w:rsidR="002A2BC2" w:rsidRPr="0032620D">
        <w:rPr>
          <w:rFonts w:eastAsiaTheme="minorEastAsia" w:cstheme="minorHAnsi"/>
        </w:rPr>
        <w:t xml:space="preserve"> </w:t>
      </w:r>
      <w:r w:rsidR="0032620D" w:rsidRPr="0032620D">
        <w:rPr>
          <w:rFonts w:eastAsiaTheme="minorEastAsia" w:cstheme="minorHAnsi"/>
        </w:rPr>
        <w:t xml:space="preserve">the number of students assessed with those </w:t>
      </w:r>
      <w:proofErr w:type="gramStart"/>
      <w:r w:rsidR="0032620D" w:rsidRPr="0032620D">
        <w:rPr>
          <w:rFonts w:eastAsiaTheme="minorEastAsia" w:cstheme="minorHAnsi"/>
        </w:rPr>
        <w:t>particular computer-based</w:t>
      </w:r>
      <w:proofErr w:type="gramEnd"/>
      <w:r w:rsidR="0032620D" w:rsidRPr="0032620D">
        <w:rPr>
          <w:rFonts w:eastAsiaTheme="minorEastAsia" w:cstheme="minorHAnsi"/>
        </w:rPr>
        <w:t xml:space="preserve"> accommodations declined.</w:t>
      </w:r>
    </w:p>
    <w:p w14:paraId="0A566AE4" w14:textId="77777777" w:rsidR="006738D3" w:rsidRPr="0099110B" w:rsidRDefault="006738D3"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Georgia</w:t>
      </w:r>
    </w:p>
    <w:p w14:paraId="79000BCD" w14:textId="19BA1AE9" w:rsidR="001E7807" w:rsidRDefault="00CA4A4B" w:rsidP="00972219">
      <w:pPr>
        <w:spacing w:after="0" w:line="240" w:lineRule="auto"/>
        <w:rPr>
          <w:rFonts w:eastAsiaTheme="minorEastAsia" w:cstheme="minorHAnsi"/>
        </w:rPr>
      </w:pPr>
      <w:r w:rsidRPr="0099110B">
        <w:rPr>
          <w:rFonts w:eastAsiaTheme="minorEastAsia" w:cstheme="minorHAnsi"/>
        </w:rPr>
        <w:t>-</w:t>
      </w:r>
      <w:r w:rsidR="00133BC5">
        <w:rPr>
          <w:rFonts w:eastAsiaTheme="minorEastAsia" w:cstheme="minorHAnsi"/>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12518DA4" w14:textId="4885CA72" w:rsidR="009C7DFD" w:rsidRPr="00135935" w:rsidRDefault="0032620D" w:rsidP="00135935">
      <w:pPr>
        <w:pStyle w:val="ListParagraph"/>
        <w:numPr>
          <w:ilvl w:val="0"/>
          <w:numId w:val="28"/>
        </w:numPr>
        <w:spacing w:line="240" w:lineRule="auto"/>
        <w:rPr>
          <w:rFonts w:eastAsiaTheme="minorEastAsia" w:cstheme="minorHAnsi"/>
        </w:rPr>
      </w:pPr>
      <w:r w:rsidRPr="0032620D">
        <w:rPr>
          <w:rFonts w:eastAsiaTheme="minorEastAsia" w:cstheme="minorHAnsi"/>
        </w:rPr>
        <w:t>Due to COVID</w:t>
      </w:r>
      <w:r w:rsidR="00886027">
        <w:rPr>
          <w:rFonts w:eastAsiaTheme="minorEastAsia" w:cstheme="minorHAnsi"/>
        </w:rPr>
        <w:t>-19</w:t>
      </w:r>
      <w:r w:rsidRPr="0032620D">
        <w:rPr>
          <w:rFonts w:eastAsiaTheme="minorEastAsia" w:cstheme="minorHAnsi"/>
        </w:rPr>
        <w:t xml:space="preserve"> the S</w:t>
      </w:r>
      <w:r w:rsidR="002B479B">
        <w:rPr>
          <w:rFonts w:eastAsiaTheme="minorEastAsia" w:cstheme="minorHAnsi"/>
        </w:rPr>
        <w:t xml:space="preserve">tate </w:t>
      </w:r>
      <w:r w:rsidRPr="0032620D">
        <w:rPr>
          <w:rFonts w:eastAsiaTheme="minorEastAsia" w:cstheme="minorHAnsi"/>
        </w:rPr>
        <w:t>E</w:t>
      </w:r>
      <w:r w:rsidR="002B479B">
        <w:rPr>
          <w:rFonts w:eastAsiaTheme="minorEastAsia" w:cstheme="minorHAnsi"/>
        </w:rPr>
        <w:t>ducation</w:t>
      </w:r>
      <w:r w:rsidR="006805C7">
        <w:rPr>
          <w:rFonts w:eastAsiaTheme="minorEastAsia" w:cstheme="minorHAnsi"/>
        </w:rPr>
        <w:t>al</w:t>
      </w:r>
      <w:r w:rsidR="002B479B">
        <w:rPr>
          <w:rFonts w:eastAsiaTheme="minorEastAsia" w:cstheme="minorHAnsi"/>
        </w:rPr>
        <w:t xml:space="preserve"> </w:t>
      </w:r>
      <w:r w:rsidRPr="0032620D">
        <w:rPr>
          <w:rFonts w:eastAsiaTheme="minorEastAsia" w:cstheme="minorHAnsi"/>
        </w:rPr>
        <w:t>A</w:t>
      </w:r>
      <w:r w:rsidR="002B479B">
        <w:rPr>
          <w:rFonts w:eastAsiaTheme="minorEastAsia" w:cstheme="minorHAnsi"/>
        </w:rPr>
        <w:t>gency (SEA)</w:t>
      </w:r>
      <w:r w:rsidRPr="0032620D">
        <w:rPr>
          <w:rFonts w:eastAsiaTheme="minorEastAsia" w:cstheme="minorHAnsi"/>
        </w:rPr>
        <w:t xml:space="preserve"> had a waiver in </w:t>
      </w:r>
      <w:r w:rsidR="002B479B">
        <w:rPr>
          <w:rFonts w:eastAsiaTheme="minorEastAsia" w:cstheme="minorHAnsi"/>
        </w:rPr>
        <w:t xml:space="preserve">SY </w:t>
      </w:r>
      <w:r w:rsidRPr="0032620D">
        <w:rPr>
          <w:rFonts w:eastAsiaTheme="minorEastAsia" w:cstheme="minorHAnsi"/>
        </w:rPr>
        <w:t>2020-21 and did not require virtual students to test</w:t>
      </w:r>
      <w:r w:rsidR="002B479B">
        <w:rPr>
          <w:rFonts w:eastAsiaTheme="minorEastAsia" w:cstheme="minorHAnsi"/>
        </w:rPr>
        <w:t>,</w:t>
      </w:r>
      <w:r w:rsidRPr="0032620D">
        <w:rPr>
          <w:rFonts w:eastAsiaTheme="minorEastAsia" w:cstheme="minorHAnsi"/>
        </w:rPr>
        <w:t xml:space="preserve"> causing the large </w:t>
      </w:r>
      <w:r w:rsidR="002B479B" w:rsidRPr="0032620D">
        <w:rPr>
          <w:rFonts w:eastAsiaTheme="minorEastAsia" w:cstheme="minorHAnsi"/>
        </w:rPr>
        <w:t>discrepancy</w:t>
      </w:r>
      <w:r w:rsidRPr="0032620D">
        <w:rPr>
          <w:rFonts w:eastAsiaTheme="minorEastAsia" w:cstheme="minorHAnsi"/>
        </w:rPr>
        <w:t xml:space="preserve"> between SY</w:t>
      </w:r>
      <w:r w:rsidR="002B479B">
        <w:rPr>
          <w:rFonts w:eastAsiaTheme="minorEastAsia" w:cstheme="minorHAnsi"/>
        </w:rPr>
        <w:t xml:space="preserve"> </w:t>
      </w:r>
      <w:r w:rsidRPr="0032620D">
        <w:rPr>
          <w:rFonts w:eastAsiaTheme="minorEastAsia" w:cstheme="minorHAnsi"/>
        </w:rPr>
        <w:t>20</w:t>
      </w:r>
      <w:r w:rsidR="002B479B">
        <w:rPr>
          <w:rFonts w:eastAsiaTheme="minorEastAsia" w:cstheme="minorHAnsi"/>
        </w:rPr>
        <w:t>20-</w:t>
      </w:r>
      <w:r w:rsidRPr="0032620D">
        <w:rPr>
          <w:rFonts w:eastAsiaTheme="minorEastAsia" w:cstheme="minorHAnsi"/>
        </w:rPr>
        <w:t>21 and SY</w:t>
      </w:r>
      <w:r w:rsidR="002B479B">
        <w:rPr>
          <w:rFonts w:eastAsiaTheme="minorEastAsia" w:cstheme="minorHAnsi"/>
        </w:rPr>
        <w:t xml:space="preserve"> </w:t>
      </w:r>
      <w:r w:rsidRPr="0032620D">
        <w:rPr>
          <w:rFonts w:eastAsiaTheme="minorEastAsia" w:cstheme="minorHAnsi"/>
        </w:rPr>
        <w:t>2</w:t>
      </w:r>
      <w:r w:rsidR="004C41A1">
        <w:rPr>
          <w:rFonts w:eastAsiaTheme="minorEastAsia" w:cstheme="minorHAnsi"/>
        </w:rPr>
        <w:t>021-</w:t>
      </w:r>
      <w:r w:rsidRPr="0032620D">
        <w:rPr>
          <w:rFonts w:eastAsiaTheme="minorEastAsia" w:cstheme="minorHAnsi"/>
        </w:rPr>
        <w:t>22 data</w:t>
      </w:r>
      <w:r w:rsidR="004C41A1">
        <w:rPr>
          <w:rFonts w:eastAsiaTheme="minorEastAsia" w:cstheme="minorHAnsi"/>
        </w:rPr>
        <w:t>.</w:t>
      </w:r>
      <w:r w:rsidRPr="0032620D">
        <w:rPr>
          <w:rFonts w:eastAsiaTheme="minorEastAsia" w:cstheme="minorHAnsi"/>
        </w:rPr>
        <w:t xml:space="preserve"> In addition to COVID</w:t>
      </w:r>
      <w:r w:rsidR="00886027">
        <w:rPr>
          <w:rFonts w:eastAsiaTheme="minorEastAsia" w:cstheme="minorHAnsi"/>
        </w:rPr>
        <w:t>-19,</w:t>
      </w:r>
      <w:r w:rsidR="004245E1">
        <w:rPr>
          <w:rFonts w:eastAsiaTheme="minorEastAsia" w:cstheme="minorHAnsi"/>
        </w:rPr>
        <w:t xml:space="preserve"> </w:t>
      </w:r>
      <w:r w:rsidRPr="0032620D">
        <w:rPr>
          <w:rFonts w:eastAsiaTheme="minorEastAsia" w:cstheme="minorHAnsi"/>
        </w:rPr>
        <w:t>student</w:t>
      </w:r>
      <w:r w:rsidR="00F95BED">
        <w:rPr>
          <w:rFonts w:eastAsiaTheme="minorEastAsia" w:cstheme="minorHAnsi"/>
        </w:rPr>
        <w:t>s</w:t>
      </w:r>
      <w:r w:rsidRPr="0032620D">
        <w:rPr>
          <w:rFonts w:eastAsiaTheme="minorEastAsia" w:cstheme="minorHAnsi"/>
        </w:rPr>
        <w:t xml:space="preserve"> testing in math in the 11th grade are students who are retaking the test.</w:t>
      </w:r>
    </w:p>
    <w:p w14:paraId="7A1F66E8" w14:textId="77777777" w:rsidR="00F92775" w:rsidRPr="0099110B" w:rsidRDefault="00F92775" w:rsidP="00FF05BC">
      <w:pPr>
        <w:keepNext/>
        <w:keepLines/>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Guam</w:t>
      </w:r>
    </w:p>
    <w:p w14:paraId="3D1997A4" w14:textId="08BB341C" w:rsidR="00135935" w:rsidRDefault="00730A00" w:rsidP="00135935">
      <w:pPr>
        <w:pStyle w:val="ListParagraph"/>
        <w:numPr>
          <w:ilvl w:val="0"/>
          <w:numId w:val="47"/>
        </w:numPr>
        <w:spacing w:line="240" w:lineRule="auto"/>
        <w:ind w:left="180" w:hanging="180"/>
        <w:rPr>
          <w:rFonts w:eastAsiaTheme="minorEastAsia" w:cstheme="minorHAnsi"/>
        </w:rPr>
      </w:pPr>
      <w:r w:rsidRPr="00730A00">
        <w:rPr>
          <w:rFonts w:eastAsiaTheme="minorEastAsia" w:cstheme="minorHAnsi"/>
        </w:rPr>
        <w:t xml:space="preserve">Guam only reports </w:t>
      </w:r>
      <w:r>
        <w:rPr>
          <w:rFonts w:eastAsiaTheme="minorEastAsia" w:cstheme="minorHAnsi"/>
        </w:rPr>
        <w:t>assessment data on children with disabilities (IDEA) to the US Department of Education.</w:t>
      </w:r>
    </w:p>
    <w:p w14:paraId="7617FD79" w14:textId="559EB647" w:rsidR="00135935" w:rsidRPr="00080520" w:rsidRDefault="00080520" w:rsidP="00080520">
      <w:pPr>
        <w:spacing w:after="0" w:line="240" w:lineRule="auto"/>
        <w:rPr>
          <w:rFonts w:eastAsiaTheme="minorEastAsia" w:cstheme="minorHAnsi"/>
        </w:rPr>
      </w:pPr>
      <w:r>
        <w:rPr>
          <w:rFonts w:eastAsiaTheme="minorEastAsia" w:cstheme="minorHAnsi"/>
        </w:rPr>
        <w:t xml:space="preserve">- </w:t>
      </w:r>
      <w:r w:rsidR="00135935" w:rsidRPr="00080520">
        <w:rPr>
          <w:rFonts w:eastAsiaTheme="minorEastAsia" w:cstheme="minorHAnsi"/>
        </w:rPr>
        <w:t>The State provided the following response(s) to large Year to Year change(s):</w:t>
      </w:r>
    </w:p>
    <w:p w14:paraId="3F6760D6" w14:textId="209DF378" w:rsidR="009C7DFD" w:rsidRPr="00080520" w:rsidRDefault="00135935" w:rsidP="00080520">
      <w:pPr>
        <w:pStyle w:val="ListParagraph"/>
        <w:numPr>
          <w:ilvl w:val="0"/>
          <w:numId w:val="28"/>
        </w:numPr>
        <w:spacing w:line="240" w:lineRule="auto"/>
        <w:rPr>
          <w:rFonts w:eastAsiaTheme="minorEastAsia" w:cstheme="minorHAnsi"/>
        </w:rPr>
      </w:pPr>
      <w:r w:rsidRPr="00730A00">
        <w:rPr>
          <w:rFonts w:eastAsiaTheme="minorEastAsia" w:cstheme="minorHAnsi"/>
        </w:rPr>
        <w:t>Due to the COVID-19 pandemic, the previous school year reported low numbers overall due to the low number of students who were receiving their education in-person; those were the students that participated in the assessment. For SY 2021-22, the reported numbers were much higher but still not at the levels they were before the COVID-19 pandemic. Many families continued to keep their children at home due to their fears of catching COVID-19. The Guam Department of Education (GDOE) continued to offer online learning to those families who kept their children at home.</w:t>
      </w:r>
      <w:r w:rsidR="00080520" w:rsidRPr="00730A00">
        <w:rPr>
          <w:rFonts w:eastAsiaTheme="minorEastAsia" w:cstheme="minorHAnsi"/>
        </w:rPr>
        <w:t xml:space="preserve"> </w:t>
      </w:r>
      <w:r w:rsidR="0032620D" w:rsidRPr="00080520">
        <w:rPr>
          <w:rFonts w:eastAsiaTheme="minorEastAsia" w:cstheme="minorHAnsi"/>
        </w:rPr>
        <w:t>During the testing window, students who received in-person learning were tested</w:t>
      </w:r>
      <w:r w:rsidR="008433CE" w:rsidRPr="00080520">
        <w:rPr>
          <w:rFonts w:eastAsiaTheme="minorEastAsia" w:cstheme="minorHAnsi"/>
        </w:rPr>
        <w:t>; s</w:t>
      </w:r>
      <w:r w:rsidR="0032620D" w:rsidRPr="00080520">
        <w:rPr>
          <w:rFonts w:eastAsiaTheme="minorEastAsia" w:cstheme="minorHAnsi"/>
        </w:rPr>
        <w:t>tudents who received online learning were encouraged to come to their school campuses so they could be tested in-person.</w:t>
      </w:r>
    </w:p>
    <w:p w14:paraId="6F27F3D3" w14:textId="15C08704" w:rsidR="00972219" w:rsidRPr="0099110B" w:rsidRDefault="00972219" w:rsidP="00972219">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Hawaii</w:t>
      </w:r>
    </w:p>
    <w:p w14:paraId="2DA07D91" w14:textId="389727FE" w:rsidR="00972219" w:rsidRDefault="00972219" w:rsidP="00972219">
      <w:pPr>
        <w:spacing w:after="0" w:line="240" w:lineRule="auto"/>
        <w:rPr>
          <w:rFonts w:eastAsiaTheme="minorEastAsia" w:cstheme="minorHAnsi"/>
        </w:rPr>
      </w:pPr>
      <w:r w:rsidRPr="0099110B">
        <w:rPr>
          <w:rFonts w:eastAsiaTheme="minorEastAsia" w:cstheme="minorHAnsi"/>
        </w:rPr>
        <w:t>-</w:t>
      </w:r>
      <w:r>
        <w:rPr>
          <w:rFonts w:eastAsiaTheme="minorEastAsia" w:cstheme="minorHAnsi"/>
        </w:rPr>
        <w:t xml:space="preserve"> The State provided the following response(s) to large Year to Year change(s)</w:t>
      </w:r>
      <w:r w:rsidRPr="0099110B">
        <w:rPr>
          <w:rFonts w:eastAsiaTheme="minorEastAsia" w:cstheme="minorHAnsi"/>
        </w:rPr>
        <w:t>:</w:t>
      </w:r>
    </w:p>
    <w:p w14:paraId="00FDF640" w14:textId="545F7642" w:rsidR="00972219" w:rsidRDefault="00972219" w:rsidP="00972219">
      <w:pPr>
        <w:pStyle w:val="ListParagraph"/>
        <w:numPr>
          <w:ilvl w:val="0"/>
          <w:numId w:val="29"/>
        </w:numPr>
        <w:spacing w:after="0" w:line="240" w:lineRule="auto"/>
        <w:rPr>
          <w:rFonts w:eastAsiaTheme="minorEastAsia" w:cstheme="minorHAnsi"/>
        </w:rPr>
      </w:pPr>
      <w:r w:rsidRPr="0032620D">
        <w:rPr>
          <w:rFonts w:eastAsiaTheme="minorEastAsia" w:cstheme="minorHAnsi"/>
        </w:rPr>
        <w:t xml:space="preserve">In 2019, the "Streamlined Mode" accommodation was re-classified as a designated support per the Smarter Balanced Technical Report. In SY 2020-21, Hawaii schools were operating via a distance learning online platform </w:t>
      </w:r>
      <w:proofErr w:type="gramStart"/>
      <w:r w:rsidRPr="0032620D">
        <w:rPr>
          <w:rFonts w:eastAsiaTheme="minorEastAsia" w:cstheme="minorHAnsi"/>
        </w:rPr>
        <w:t>as a result of</w:t>
      </w:r>
      <w:proofErr w:type="gramEnd"/>
      <w:r w:rsidRPr="0032620D">
        <w:rPr>
          <w:rFonts w:eastAsiaTheme="minorEastAsia" w:cstheme="minorHAnsi"/>
        </w:rPr>
        <w:t xml:space="preserve"> the COVID-19 pandemic challenges, which impacted the administration and participation rates. In addition, the students’ modes of learning, instruction, and test-taking options were disrupted or altered during the school year, thus impacting the count and percentage of </w:t>
      </w:r>
      <w:r w:rsidR="00EE3DB7">
        <w:rPr>
          <w:rFonts w:eastAsiaTheme="minorEastAsia" w:cstheme="minorHAnsi"/>
        </w:rPr>
        <w:t>children with disabilitie</w:t>
      </w:r>
      <w:r w:rsidRPr="0032620D">
        <w:rPr>
          <w:rFonts w:eastAsiaTheme="minorEastAsia" w:cstheme="minorHAnsi"/>
        </w:rPr>
        <w:t>s</w:t>
      </w:r>
      <w:r w:rsidR="00EE3DB7">
        <w:rPr>
          <w:rFonts w:eastAsiaTheme="minorEastAsia" w:cstheme="minorHAnsi"/>
        </w:rPr>
        <w:t xml:space="preserve"> (CWDs</w:t>
      </w:r>
      <w:r w:rsidR="00CB7B02">
        <w:rPr>
          <w:rFonts w:eastAsiaTheme="minorEastAsia" w:cstheme="minorHAnsi"/>
        </w:rPr>
        <w:t>)</w:t>
      </w:r>
      <w:r w:rsidRPr="0032620D">
        <w:rPr>
          <w:rFonts w:eastAsiaTheme="minorEastAsia" w:cstheme="minorHAnsi"/>
        </w:rPr>
        <w:t xml:space="preserve"> taking the assessment with accommodations. The COVID-19 impact challenges continued to linger in SY 2021-22, which likely impacted the count and percentage of CWDs taking the assessment with accommodations.</w:t>
      </w:r>
    </w:p>
    <w:p w14:paraId="4BDCC2BF" w14:textId="361D3F10" w:rsidR="00972219" w:rsidRPr="00972219" w:rsidRDefault="00972219" w:rsidP="00972219">
      <w:pPr>
        <w:pStyle w:val="ListParagraph"/>
        <w:numPr>
          <w:ilvl w:val="0"/>
          <w:numId w:val="29"/>
        </w:numPr>
        <w:spacing w:line="240" w:lineRule="auto"/>
        <w:rPr>
          <w:rFonts w:eastAsiaTheme="minorEastAsia" w:cstheme="minorHAnsi"/>
        </w:rPr>
      </w:pPr>
      <w:r w:rsidRPr="0032620D">
        <w:rPr>
          <w:rFonts w:eastAsiaTheme="minorEastAsia" w:cstheme="minorHAnsi"/>
        </w:rPr>
        <w:t>In SY 2020-21, Hawaii schools were operating via a distance learning online platform as a result</w:t>
      </w:r>
      <w:r w:rsidR="004245E1">
        <w:rPr>
          <w:rFonts w:eastAsiaTheme="minorEastAsia" w:cstheme="minorHAnsi"/>
        </w:rPr>
        <w:t xml:space="preserve">  </w:t>
      </w:r>
      <w:r w:rsidRPr="0032620D">
        <w:rPr>
          <w:rFonts w:eastAsiaTheme="minorEastAsia" w:cstheme="minorHAnsi"/>
        </w:rPr>
        <w:t>of the COVID-19 pandemic challenges. Furthermore, the U.S. Department of Education offered states a waiver from certain accountability requirements, which included the waiving of the 95% participation rate requirement, acknowledging that all states would have difficulty administering assessments due to the large proportion of students in blended or distance learning environments. Not all students were assessed during that period, based on students' needs and appropriate accommodations required. In SY 2021-22, all Hawaii public schools were fully opened for in-person learning with numerous lingering COVID-19 pandemic challenges, which likely had a negative impact on the participation rates, but not to the same extent as the previous year. This resulted in more students being assessed, and those being assessed required fewer accommodations.</w:t>
      </w:r>
    </w:p>
    <w:p w14:paraId="206A188B" w14:textId="07D9A443" w:rsidR="003E03CE" w:rsidRPr="0099110B" w:rsidRDefault="003E03CE"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I</w:t>
      </w:r>
      <w:r w:rsidR="0032620D">
        <w:rPr>
          <w:rFonts w:eastAsia="Times New Roman" w:cstheme="minorHAnsi"/>
          <w:b/>
          <w:bCs/>
          <w:color w:val="000000" w:themeColor="text1"/>
        </w:rPr>
        <w:t>ndiana</w:t>
      </w:r>
    </w:p>
    <w:p w14:paraId="433E8E3D" w14:textId="065B5C8B" w:rsidR="0032620D" w:rsidRDefault="0032620D" w:rsidP="00A76244">
      <w:pPr>
        <w:spacing w:after="0" w:line="240" w:lineRule="auto"/>
        <w:ind w:left="-105"/>
        <w:rPr>
          <w:rFonts w:eastAsiaTheme="minorEastAsia" w:cstheme="minorHAnsi"/>
        </w:rPr>
      </w:pPr>
      <w:r w:rsidRPr="0099110B">
        <w:rPr>
          <w:rFonts w:eastAsiaTheme="minorEastAsia" w:cstheme="minorHAnsi"/>
        </w:rPr>
        <w:t>-</w:t>
      </w:r>
      <w:r>
        <w:rPr>
          <w:rFonts w:eastAsiaTheme="minorEastAsia" w:cstheme="minorHAnsi"/>
        </w:rPr>
        <w:t xml:space="preserve"> The State provided the following response(s) to large Year to Year change(s)</w:t>
      </w:r>
      <w:r w:rsidRPr="0099110B">
        <w:rPr>
          <w:rFonts w:eastAsiaTheme="minorEastAsia" w:cstheme="minorHAnsi"/>
        </w:rPr>
        <w:t>:</w:t>
      </w:r>
    </w:p>
    <w:p w14:paraId="51E38576" w14:textId="34EAC0FC" w:rsidR="0032620D" w:rsidRDefault="0032620D" w:rsidP="00080520">
      <w:pPr>
        <w:pStyle w:val="ListParagraph"/>
        <w:numPr>
          <w:ilvl w:val="0"/>
          <w:numId w:val="30"/>
        </w:numPr>
        <w:spacing w:after="0" w:line="240" w:lineRule="auto"/>
        <w:ind w:left="720"/>
        <w:rPr>
          <w:rFonts w:eastAsia="Times New Roman" w:cstheme="minorHAnsi"/>
          <w:color w:val="000000"/>
        </w:rPr>
      </w:pPr>
      <w:r w:rsidRPr="0032620D">
        <w:rPr>
          <w:rFonts w:eastAsia="Times New Roman" w:cstheme="minorHAnsi"/>
          <w:color w:val="000000"/>
        </w:rPr>
        <w:t xml:space="preserve">Indiana transitioned from </w:t>
      </w:r>
      <w:r w:rsidR="00DC2638">
        <w:rPr>
          <w:rFonts w:eastAsia="Times New Roman" w:cstheme="minorHAnsi"/>
          <w:color w:val="000000"/>
        </w:rPr>
        <w:t xml:space="preserve">the </w:t>
      </w:r>
      <w:r w:rsidRPr="0032620D">
        <w:rPr>
          <w:rFonts w:eastAsia="Times New Roman" w:cstheme="minorHAnsi"/>
          <w:color w:val="000000"/>
        </w:rPr>
        <w:t>local I</w:t>
      </w:r>
      <w:r w:rsidR="00ED669E">
        <w:rPr>
          <w:rFonts w:eastAsia="Times New Roman" w:cstheme="minorHAnsi"/>
          <w:color w:val="000000"/>
        </w:rPr>
        <w:t xml:space="preserve">ndiana </w:t>
      </w:r>
      <w:r w:rsidRPr="0032620D">
        <w:rPr>
          <w:rFonts w:eastAsia="Times New Roman" w:cstheme="minorHAnsi"/>
          <w:color w:val="000000"/>
        </w:rPr>
        <w:t>S</w:t>
      </w:r>
      <w:r w:rsidR="00ED669E">
        <w:rPr>
          <w:rFonts w:eastAsia="Times New Roman" w:cstheme="minorHAnsi"/>
          <w:color w:val="000000"/>
        </w:rPr>
        <w:t xml:space="preserve">tatewide </w:t>
      </w:r>
      <w:r w:rsidRPr="0032620D">
        <w:rPr>
          <w:rFonts w:eastAsia="Times New Roman" w:cstheme="minorHAnsi"/>
          <w:color w:val="000000"/>
        </w:rPr>
        <w:t>T</w:t>
      </w:r>
      <w:r w:rsidR="00812C54">
        <w:rPr>
          <w:rFonts w:eastAsia="Times New Roman" w:cstheme="minorHAnsi"/>
          <w:color w:val="000000"/>
        </w:rPr>
        <w:t xml:space="preserve">esting </w:t>
      </w:r>
      <w:r w:rsidR="00A77849">
        <w:rPr>
          <w:rFonts w:eastAsia="Times New Roman" w:cstheme="minorHAnsi"/>
          <w:color w:val="000000"/>
        </w:rPr>
        <w:t xml:space="preserve">for </w:t>
      </w:r>
      <w:r w:rsidRPr="0032620D">
        <w:rPr>
          <w:rFonts w:eastAsia="Times New Roman" w:cstheme="minorHAnsi"/>
          <w:color w:val="000000"/>
        </w:rPr>
        <w:t>E</w:t>
      </w:r>
      <w:r w:rsidR="00A77849">
        <w:rPr>
          <w:rFonts w:eastAsia="Times New Roman" w:cstheme="minorHAnsi"/>
          <w:color w:val="000000"/>
        </w:rPr>
        <w:t xml:space="preserve">ducational </w:t>
      </w:r>
      <w:r w:rsidRPr="0032620D">
        <w:rPr>
          <w:rFonts w:eastAsia="Times New Roman" w:cstheme="minorHAnsi"/>
          <w:color w:val="000000"/>
        </w:rPr>
        <w:t>P</w:t>
      </w:r>
      <w:r w:rsidR="00A77849">
        <w:rPr>
          <w:rFonts w:eastAsia="Times New Roman" w:cstheme="minorHAnsi"/>
          <w:color w:val="000000"/>
        </w:rPr>
        <w:t>rogress</w:t>
      </w:r>
      <w:r w:rsidR="008B3B36">
        <w:rPr>
          <w:rFonts w:eastAsia="Times New Roman" w:cstheme="minorHAnsi"/>
          <w:color w:val="000000"/>
        </w:rPr>
        <w:t xml:space="preserve"> (ISTEP) </w:t>
      </w:r>
      <w:r w:rsidRPr="0032620D">
        <w:rPr>
          <w:rFonts w:eastAsia="Times New Roman" w:cstheme="minorHAnsi"/>
          <w:color w:val="000000"/>
        </w:rPr>
        <w:t xml:space="preserve">10 Grade 10 assessment to </w:t>
      </w:r>
      <w:r w:rsidR="00DC2638">
        <w:rPr>
          <w:rFonts w:eastAsia="Times New Roman" w:cstheme="minorHAnsi"/>
          <w:color w:val="000000"/>
        </w:rPr>
        <w:t xml:space="preserve">the </w:t>
      </w:r>
      <w:r w:rsidRPr="0032620D">
        <w:rPr>
          <w:rFonts w:eastAsia="Times New Roman" w:cstheme="minorHAnsi"/>
          <w:color w:val="000000"/>
        </w:rPr>
        <w:t>S</w:t>
      </w:r>
      <w:r w:rsidR="00C428CA">
        <w:rPr>
          <w:rFonts w:eastAsia="Times New Roman" w:cstheme="minorHAnsi"/>
          <w:color w:val="000000"/>
        </w:rPr>
        <w:t>c</w:t>
      </w:r>
      <w:r w:rsidR="00C11967">
        <w:rPr>
          <w:rFonts w:eastAsia="Times New Roman" w:cstheme="minorHAnsi"/>
          <w:color w:val="000000"/>
        </w:rPr>
        <w:t xml:space="preserve">holastic </w:t>
      </w:r>
      <w:r w:rsidRPr="0032620D">
        <w:rPr>
          <w:rFonts w:eastAsia="Times New Roman" w:cstheme="minorHAnsi"/>
          <w:color w:val="000000"/>
        </w:rPr>
        <w:t>A</w:t>
      </w:r>
      <w:r w:rsidR="00C11967">
        <w:rPr>
          <w:rFonts w:eastAsia="Times New Roman" w:cstheme="minorHAnsi"/>
          <w:color w:val="000000"/>
        </w:rPr>
        <w:t xml:space="preserve">ptitude </w:t>
      </w:r>
      <w:r w:rsidRPr="0032620D">
        <w:rPr>
          <w:rFonts w:eastAsia="Times New Roman" w:cstheme="minorHAnsi"/>
          <w:color w:val="000000"/>
        </w:rPr>
        <w:t>T</w:t>
      </w:r>
      <w:r w:rsidR="00C11967">
        <w:rPr>
          <w:rFonts w:eastAsia="Times New Roman" w:cstheme="minorHAnsi"/>
          <w:color w:val="000000"/>
        </w:rPr>
        <w:t>est</w:t>
      </w:r>
      <w:r w:rsidR="00A2572B">
        <w:rPr>
          <w:rFonts w:eastAsia="Times New Roman" w:cstheme="minorHAnsi"/>
          <w:color w:val="000000"/>
        </w:rPr>
        <w:t xml:space="preserve"> (SAT)</w:t>
      </w:r>
      <w:r w:rsidRPr="0032620D">
        <w:rPr>
          <w:rFonts w:eastAsia="Times New Roman" w:cstheme="minorHAnsi"/>
          <w:color w:val="000000"/>
        </w:rPr>
        <w:t xml:space="preserve"> Grade 11 for our statewide </w:t>
      </w:r>
      <w:r w:rsidR="00AD4403">
        <w:rPr>
          <w:rFonts w:eastAsia="Times New Roman" w:cstheme="minorHAnsi"/>
          <w:color w:val="000000"/>
        </w:rPr>
        <w:t>high school (</w:t>
      </w:r>
      <w:r w:rsidRPr="0032620D">
        <w:rPr>
          <w:rFonts w:eastAsia="Times New Roman" w:cstheme="minorHAnsi"/>
          <w:color w:val="000000"/>
        </w:rPr>
        <w:t>HS</w:t>
      </w:r>
      <w:r w:rsidR="00AD4403">
        <w:rPr>
          <w:rFonts w:eastAsia="Times New Roman" w:cstheme="minorHAnsi"/>
          <w:color w:val="000000"/>
        </w:rPr>
        <w:t>)</w:t>
      </w:r>
      <w:r w:rsidRPr="0032620D">
        <w:rPr>
          <w:rFonts w:eastAsia="Times New Roman" w:cstheme="minorHAnsi"/>
          <w:color w:val="000000"/>
        </w:rPr>
        <w:t xml:space="preserve"> assessment. Due to this transition, year</w:t>
      </w:r>
      <w:r w:rsidR="00F5024B">
        <w:rPr>
          <w:rFonts w:eastAsia="Times New Roman" w:cstheme="minorHAnsi"/>
          <w:color w:val="000000"/>
        </w:rPr>
        <w:t>-</w:t>
      </w:r>
      <w:r w:rsidRPr="0032620D">
        <w:rPr>
          <w:rFonts w:eastAsia="Times New Roman" w:cstheme="minorHAnsi"/>
          <w:color w:val="000000"/>
        </w:rPr>
        <w:t>to</w:t>
      </w:r>
      <w:r w:rsidR="00F5024B">
        <w:rPr>
          <w:rFonts w:eastAsia="Times New Roman" w:cstheme="minorHAnsi"/>
          <w:color w:val="000000"/>
        </w:rPr>
        <w:t>-</w:t>
      </w:r>
      <w:r w:rsidRPr="0032620D">
        <w:rPr>
          <w:rFonts w:eastAsia="Times New Roman" w:cstheme="minorHAnsi"/>
          <w:color w:val="000000"/>
        </w:rPr>
        <w:t>year comparison is not comparable</w:t>
      </w:r>
      <w:r w:rsidR="00F5024B">
        <w:rPr>
          <w:rFonts w:eastAsia="Times New Roman" w:cstheme="minorHAnsi"/>
          <w:color w:val="000000"/>
        </w:rPr>
        <w:t>.</w:t>
      </w:r>
    </w:p>
    <w:p w14:paraId="1414C7C4" w14:textId="222AD370" w:rsidR="005551BF" w:rsidRDefault="005551BF" w:rsidP="00080520">
      <w:pPr>
        <w:pStyle w:val="ListParagraph"/>
        <w:numPr>
          <w:ilvl w:val="0"/>
          <w:numId w:val="30"/>
        </w:numPr>
        <w:spacing w:line="240" w:lineRule="auto"/>
        <w:ind w:left="720"/>
        <w:rPr>
          <w:rFonts w:eastAsia="Times New Roman" w:cstheme="minorHAnsi"/>
          <w:color w:val="000000"/>
        </w:rPr>
      </w:pPr>
      <w:r w:rsidRPr="005551BF">
        <w:rPr>
          <w:rFonts w:eastAsia="Times New Roman" w:cstheme="minorHAnsi"/>
          <w:color w:val="000000"/>
        </w:rPr>
        <w:t xml:space="preserve">Only alternate testers test in 10th grade, as the regular assessment occurs in 11th grade as the SAT in Indiana. Due to this, all 10th grade testers will be </w:t>
      </w:r>
      <w:r w:rsidR="00271422">
        <w:rPr>
          <w:rFonts w:eastAsia="Times New Roman" w:cstheme="minorHAnsi"/>
          <w:color w:val="000000"/>
        </w:rPr>
        <w:t>s</w:t>
      </w:r>
      <w:r w:rsidRPr="005551BF">
        <w:rPr>
          <w:rFonts w:eastAsia="Times New Roman" w:cstheme="minorHAnsi"/>
          <w:color w:val="000000"/>
        </w:rPr>
        <w:t xml:space="preserve">pecial </w:t>
      </w:r>
      <w:r w:rsidR="00271422">
        <w:rPr>
          <w:rFonts w:eastAsia="Times New Roman" w:cstheme="minorHAnsi"/>
          <w:color w:val="000000"/>
        </w:rPr>
        <w:t>e</w:t>
      </w:r>
      <w:r w:rsidRPr="005551BF">
        <w:rPr>
          <w:rFonts w:eastAsia="Times New Roman" w:cstheme="minorHAnsi"/>
          <w:color w:val="000000"/>
        </w:rPr>
        <w:t>ducation.</w:t>
      </w:r>
    </w:p>
    <w:p w14:paraId="3A47A22A" w14:textId="17D42E16" w:rsidR="00587BB5" w:rsidRPr="0099110B" w:rsidRDefault="00587BB5" w:rsidP="00BB20E4">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Kansas</w:t>
      </w:r>
    </w:p>
    <w:p w14:paraId="1E79DD03" w14:textId="77777777" w:rsidR="00523944" w:rsidRDefault="00587BB5" w:rsidP="00523944">
      <w:pPr>
        <w:spacing w:after="0" w:line="240" w:lineRule="auto"/>
        <w:rPr>
          <w:rFonts w:eastAsia="Times New Roman" w:cstheme="minorHAnsi"/>
          <w:color w:val="000000"/>
        </w:rPr>
      </w:pPr>
      <w:r w:rsidRPr="0099110B">
        <w:rPr>
          <w:rFonts w:eastAsia="Times New Roman" w:cstheme="minorHAnsi"/>
          <w:color w:val="000000"/>
        </w:rPr>
        <w:t>-</w:t>
      </w:r>
      <w:r w:rsidRPr="00FF05BC">
        <w:rPr>
          <w:rFonts w:eastAsia="Times New Roman" w:cstheme="minorHAnsi"/>
          <w:color w:val="000000"/>
        </w:rPr>
        <w:t xml:space="preserve"> The State provided the following response(s) to large Year to Year change(s):</w:t>
      </w:r>
    </w:p>
    <w:p w14:paraId="47D0AC90" w14:textId="77777777" w:rsidR="003824B2" w:rsidRDefault="00587BB5">
      <w:pPr>
        <w:pStyle w:val="ListParagraph"/>
        <w:numPr>
          <w:ilvl w:val="0"/>
          <w:numId w:val="40"/>
        </w:numPr>
        <w:tabs>
          <w:tab w:val="left" w:pos="720"/>
        </w:tabs>
        <w:spacing w:line="240" w:lineRule="auto"/>
        <w:rPr>
          <w:rFonts w:eastAsia="Times New Roman" w:cstheme="minorHAnsi"/>
          <w:color w:val="000000"/>
        </w:rPr>
      </w:pPr>
      <w:r w:rsidRPr="00523944">
        <w:rPr>
          <w:rFonts w:eastAsia="Times New Roman" w:cstheme="minorHAnsi"/>
          <w:color w:val="000000"/>
        </w:rPr>
        <w:t xml:space="preserve">Assessment participation in Kansas was down in </w:t>
      </w:r>
      <w:r w:rsidR="007F3D1E">
        <w:rPr>
          <w:rFonts w:eastAsia="Times New Roman" w:cstheme="minorHAnsi"/>
          <w:color w:val="000000"/>
        </w:rPr>
        <w:t>SY 20</w:t>
      </w:r>
      <w:r w:rsidRPr="00523944">
        <w:rPr>
          <w:rFonts w:eastAsia="Times New Roman" w:cstheme="minorHAnsi"/>
          <w:color w:val="000000"/>
        </w:rPr>
        <w:t>20-21 due to the COVID</w:t>
      </w:r>
      <w:r w:rsidR="007F3D1E">
        <w:rPr>
          <w:rFonts w:eastAsia="Times New Roman" w:cstheme="minorHAnsi"/>
          <w:color w:val="000000"/>
        </w:rPr>
        <w:t>-19</w:t>
      </w:r>
      <w:r w:rsidRPr="00523944">
        <w:rPr>
          <w:rFonts w:eastAsia="Times New Roman" w:cstheme="minorHAnsi"/>
          <w:color w:val="000000"/>
        </w:rPr>
        <w:t xml:space="preserve"> pandemic. Kansas experienced a decline in student enrollment in </w:t>
      </w:r>
      <w:r w:rsidR="007F3D1E">
        <w:rPr>
          <w:rFonts w:eastAsia="Times New Roman" w:cstheme="minorHAnsi"/>
          <w:color w:val="000000"/>
        </w:rPr>
        <w:t>SY 2020</w:t>
      </w:r>
      <w:r w:rsidRPr="00523944">
        <w:rPr>
          <w:rFonts w:eastAsia="Times New Roman" w:cstheme="minorHAnsi"/>
          <w:color w:val="000000"/>
        </w:rPr>
        <w:t>-21, some LEAs remained in remote status a majority of</w:t>
      </w:r>
      <w:r w:rsidR="00410899">
        <w:rPr>
          <w:rFonts w:eastAsia="Times New Roman" w:cstheme="minorHAnsi"/>
          <w:color w:val="000000"/>
        </w:rPr>
        <w:t xml:space="preserve"> SY</w:t>
      </w:r>
      <w:r w:rsidRPr="00523944">
        <w:rPr>
          <w:rFonts w:eastAsia="Times New Roman" w:cstheme="minorHAnsi"/>
          <w:color w:val="000000"/>
        </w:rPr>
        <w:t xml:space="preserve"> </w:t>
      </w:r>
      <w:r w:rsidR="00410899">
        <w:rPr>
          <w:rFonts w:eastAsia="Times New Roman" w:cstheme="minorHAnsi"/>
          <w:color w:val="000000"/>
        </w:rPr>
        <w:t>20</w:t>
      </w:r>
      <w:r w:rsidRPr="00523944">
        <w:rPr>
          <w:rFonts w:eastAsia="Times New Roman" w:cstheme="minorHAnsi"/>
          <w:color w:val="000000"/>
        </w:rPr>
        <w:t>20-21, and COVID</w:t>
      </w:r>
      <w:r w:rsidR="00303577">
        <w:rPr>
          <w:rFonts w:eastAsia="Times New Roman" w:cstheme="minorHAnsi"/>
          <w:color w:val="000000"/>
        </w:rPr>
        <w:t>-19</w:t>
      </w:r>
      <w:r w:rsidRPr="00523944">
        <w:rPr>
          <w:rFonts w:eastAsia="Times New Roman" w:cstheme="minorHAnsi"/>
          <w:color w:val="000000"/>
        </w:rPr>
        <w:t xml:space="preserve"> outbreaks caused other school closures which all impacted student assessment participation in</w:t>
      </w:r>
      <w:r w:rsidR="00303577">
        <w:rPr>
          <w:rFonts w:eastAsia="Times New Roman" w:cstheme="minorHAnsi"/>
          <w:color w:val="000000"/>
        </w:rPr>
        <w:t xml:space="preserve"> SY</w:t>
      </w:r>
      <w:r w:rsidRPr="00523944">
        <w:rPr>
          <w:rFonts w:eastAsia="Times New Roman" w:cstheme="minorHAnsi"/>
          <w:color w:val="000000"/>
        </w:rPr>
        <w:t xml:space="preserve"> </w:t>
      </w:r>
      <w:r w:rsidR="00303577">
        <w:rPr>
          <w:rFonts w:eastAsia="Times New Roman" w:cstheme="minorHAnsi"/>
          <w:color w:val="000000"/>
        </w:rPr>
        <w:t>20</w:t>
      </w:r>
      <w:r w:rsidRPr="00523944">
        <w:rPr>
          <w:rFonts w:eastAsia="Times New Roman" w:cstheme="minorHAnsi"/>
          <w:color w:val="000000"/>
        </w:rPr>
        <w:t xml:space="preserve">20-21. In </w:t>
      </w:r>
      <w:r w:rsidR="00303577">
        <w:rPr>
          <w:rFonts w:eastAsia="Times New Roman" w:cstheme="minorHAnsi"/>
          <w:color w:val="000000"/>
        </w:rPr>
        <w:t>SY 20</w:t>
      </w:r>
      <w:r w:rsidRPr="00523944">
        <w:rPr>
          <w:rFonts w:eastAsia="Times New Roman" w:cstheme="minorHAnsi"/>
          <w:color w:val="000000"/>
        </w:rPr>
        <w:t>21-22</w:t>
      </w:r>
      <w:r w:rsidR="00FB2698">
        <w:rPr>
          <w:rFonts w:eastAsia="Times New Roman" w:cstheme="minorHAnsi"/>
          <w:color w:val="000000"/>
        </w:rPr>
        <w:t>,</w:t>
      </w:r>
      <w:r w:rsidRPr="00523944">
        <w:rPr>
          <w:rFonts w:eastAsia="Times New Roman" w:cstheme="minorHAnsi"/>
          <w:color w:val="000000"/>
        </w:rPr>
        <w:t xml:space="preserve"> we have seen a return of student enrollment as well as assessment participation in all assessments.</w:t>
      </w:r>
    </w:p>
    <w:p w14:paraId="4FCB87FA" w14:textId="77777777" w:rsidR="00393894" w:rsidRPr="0099110B" w:rsidRDefault="00393894" w:rsidP="005239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Maine</w:t>
      </w:r>
    </w:p>
    <w:p w14:paraId="0C581EF4" w14:textId="02DE027B" w:rsidR="00A17652" w:rsidRDefault="004312DB" w:rsidP="00523944">
      <w:pPr>
        <w:spacing w:after="0" w:line="240" w:lineRule="auto"/>
        <w:rPr>
          <w:rFonts w:eastAsiaTheme="minorEastAsia" w:cstheme="minorHAnsi"/>
        </w:rPr>
      </w:pPr>
      <w:r w:rsidRPr="0099110B">
        <w:rPr>
          <w:rFonts w:eastAsia="Times New Roman" w:cstheme="minorHAnsi"/>
          <w:color w:val="000000"/>
        </w:rPr>
        <w:t>-</w:t>
      </w:r>
      <w:r w:rsidR="00257578">
        <w:rPr>
          <w:rFonts w:eastAsia="Times New Roman" w:cstheme="minorHAnsi"/>
          <w:color w:val="000000"/>
        </w:rPr>
        <w:t xml:space="preserve"> </w:t>
      </w:r>
      <w:r w:rsidR="00A17652">
        <w:rPr>
          <w:rFonts w:eastAsiaTheme="minorEastAsia" w:cstheme="minorHAnsi"/>
        </w:rPr>
        <w:t>The State provided the following response(s) to large Year to Year change(s)</w:t>
      </w:r>
      <w:r w:rsidR="00A17652" w:rsidRPr="0099110B">
        <w:rPr>
          <w:rFonts w:eastAsiaTheme="minorEastAsia" w:cstheme="minorHAnsi"/>
        </w:rPr>
        <w:t>:</w:t>
      </w:r>
    </w:p>
    <w:p w14:paraId="236C0F0B" w14:textId="0D73DBE6" w:rsidR="00A17652" w:rsidRDefault="00A17652" w:rsidP="00080520">
      <w:pPr>
        <w:pStyle w:val="ListParagraph"/>
        <w:numPr>
          <w:ilvl w:val="0"/>
          <w:numId w:val="30"/>
        </w:numPr>
        <w:spacing w:after="0" w:line="240" w:lineRule="auto"/>
        <w:ind w:left="720"/>
        <w:rPr>
          <w:rFonts w:eastAsia="Times New Roman" w:cstheme="minorHAnsi"/>
          <w:color w:val="000000"/>
        </w:rPr>
      </w:pPr>
      <w:r w:rsidRPr="00A17652">
        <w:rPr>
          <w:rFonts w:eastAsia="Times New Roman" w:cstheme="minorHAnsi"/>
          <w:color w:val="000000"/>
        </w:rPr>
        <w:t>The Maine DOE assessment team reviewed and revised accessibility related documentation and classifications</w:t>
      </w:r>
      <w:r w:rsidR="00E20C53">
        <w:rPr>
          <w:rFonts w:eastAsia="Times New Roman" w:cstheme="minorHAnsi"/>
          <w:color w:val="000000"/>
        </w:rPr>
        <w:t xml:space="preserve">, </w:t>
      </w:r>
      <w:r w:rsidRPr="00A17652">
        <w:rPr>
          <w:rFonts w:eastAsia="Times New Roman" w:cstheme="minorHAnsi"/>
          <w:color w:val="000000"/>
        </w:rPr>
        <w:t>reclassifying some former acco</w:t>
      </w:r>
      <w:r w:rsidR="00E20C53">
        <w:rPr>
          <w:rFonts w:eastAsia="Times New Roman" w:cstheme="minorHAnsi"/>
          <w:color w:val="000000"/>
        </w:rPr>
        <w:t>m</w:t>
      </w:r>
      <w:r w:rsidRPr="00A17652">
        <w:rPr>
          <w:rFonts w:eastAsia="Times New Roman" w:cstheme="minorHAnsi"/>
          <w:color w:val="000000"/>
        </w:rPr>
        <w:t xml:space="preserve">modations as designated features. This resulted in </w:t>
      </w:r>
      <w:proofErr w:type="gramStart"/>
      <w:r w:rsidRPr="00A17652">
        <w:rPr>
          <w:rFonts w:eastAsia="Times New Roman" w:cstheme="minorHAnsi"/>
          <w:color w:val="000000"/>
        </w:rPr>
        <w:t>a large number of</w:t>
      </w:r>
      <w:proofErr w:type="gramEnd"/>
      <w:r w:rsidRPr="00A17652">
        <w:rPr>
          <w:rFonts w:eastAsia="Times New Roman" w:cstheme="minorHAnsi"/>
          <w:color w:val="000000"/>
        </w:rPr>
        <w:t xml:space="preserve"> students no longer receiving accom</w:t>
      </w:r>
      <w:r w:rsidR="00E20C53">
        <w:rPr>
          <w:rFonts w:eastAsia="Times New Roman" w:cstheme="minorHAnsi"/>
          <w:color w:val="000000"/>
        </w:rPr>
        <w:t>m</w:t>
      </w:r>
      <w:r w:rsidRPr="00A17652">
        <w:rPr>
          <w:rFonts w:eastAsia="Times New Roman" w:cstheme="minorHAnsi"/>
          <w:color w:val="000000"/>
        </w:rPr>
        <w:t>odations as those supports are no longer deemed as accom</w:t>
      </w:r>
      <w:r w:rsidR="00E20C53">
        <w:rPr>
          <w:rFonts w:eastAsia="Times New Roman" w:cstheme="minorHAnsi"/>
          <w:color w:val="000000"/>
        </w:rPr>
        <w:t>m</w:t>
      </w:r>
      <w:r w:rsidRPr="00A17652">
        <w:rPr>
          <w:rFonts w:eastAsia="Times New Roman" w:cstheme="minorHAnsi"/>
          <w:color w:val="000000"/>
        </w:rPr>
        <w:t>odations but rather a designated feature.</w:t>
      </w:r>
    </w:p>
    <w:p w14:paraId="5B58C8E4" w14:textId="2510B7C0" w:rsidR="00BB20E4" w:rsidRPr="00E45775" w:rsidRDefault="00BB20E4" w:rsidP="00080520">
      <w:pPr>
        <w:pStyle w:val="ListParagraph"/>
        <w:numPr>
          <w:ilvl w:val="0"/>
          <w:numId w:val="30"/>
        </w:numPr>
        <w:spacing w:line="240" w:lineRule="auto"/>
        <w:ind w:left="720"/>
        <w:rPr>
          <w:rFonts w:eastAsia="Times New Roman" w:cstheme="minorHAnsi"/>
          <w:color w:val="000000"/>
        </w:rPr>
      </w:pPr>
      <w:r w:rsidRPr="00BB20E4">
        <w:rPr>
          <w:rFonts w:eastAsia="Times New Roman" w:cstheme="minorHAnsi"/>
          <w:color w:val="000000"/>
        </w:rPr>
        <w:t>Maine has recently experienced an influx of new residents. If examining data as a cohort, the number of children between years remains steady and within expected parameters</w:t>
      </w:r>
      <w:r w:rsidR="00A17652" w:rsidRPr="00587BB5">
        <w:rPr>
          <w:rFonts w:eastAsia="Times New Roman" w:cstheme="minorHAnsi"/>
          <w:color w:val="000000"/>
        </w:rPr>
        <w:t>.</w:t>
      </w:r>
    </w:p>
    <w:p w14:paraId="72F1207D" w14:textId="764F3850" w:rsidR="003C0F72" w:rsidRPr="0099110B" w:rsidRDefault="003C0F72" w:rsidP="00E45775">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Maryland</w:t>
      </w:r>
    </w:p>
    <w:p w14:paraId="701DA813" w14:textId="1A11DDF6" w:rsidR="00BB20E4" w:rsidRDefault="00BB20E4" w:rsidP="00E45775">
      <w:pPr>
        <w:spacing w:after="0"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5C620104" w14:textId="68994786" w:rsidR="00BB20E4" w:rsidRPr="00E45775" w:rsidRDefault="0098615B" w:rsidP="00080520">
      <w:pPr>
        <w:pStyle w:val="ListParagraph"/>
        <w:numPr>
          <w:ilvl w:val="0"/>
          <w:numId w:val="30"/>
        </w:numPr>
        <w:spacing w:line="240" w:lineRule="auto"/>
        <w:ind w:left="720"/>
        <w:rPr>
          <w:rFonts w:eastAsia="Times New Roman" w:cstheme="minorHAnsi"/>
          <w:color w:val="000000"/>
        </w:rPr>
      </w:pPr>
      <w:r>
        <w:rPr>
          <w:rFonts w:eastAsia="Times New Roman" w:cstheme="minorHAnsi"/>
          <w:color w:val="000000"/>
        </w:rPr>
        <w:t>T</w:t>
      </w:r>
      <w:r w:rsidR="00BB20E4" w:rsidRPr="00BB20E4">
        <w:rPr>
          <w:rFonts w:eastAsia="Times New Roman" w:cstheme="minorHAnsi"/>
          <w:color w:val="000000"/>
        </w:rPr>
        <w:t xml:space="preserve">here were more students participating and met proficiency in </w:t>
      </w:r>
      <w:r>
        <w:rPr>
          <w:rFonts w:eastAsia="Times New Roman" w:cstheme="minorHAnsi"/>
          <w:color w:val="000000"/>
        </w:rPr>
        <w:t xml:space="preserve">the SY 2021- </w:t>
      </w:r>
      <w:r w:rsidR="00BB20E4" w:rsidRPr="00BB20E4">
        <w:rPr>
          <w:rFonts w:eastAsia="Times New Roman" w:cstheme="minorHAnsi"/>
          <w:color w:val="000000"/>
        </w:rPr>
        <w:t xml:space="preserve">22 assessments than in </w:t>
      </w:r>
      <w:r>
        <w:rPr>
          <w:rFonts w:eastAsia="Times New Roman" w:cstheme="minorHAnsi"/>
          <w:color w:val="000000"/>
        </w:rPr>
        <w:t xml:space="preserve">SY </w:t>
      </w:r>
      <w:r w:rsidR="00BB20E4" w:rsidRPr="00BB20E4">
        <w:rPr>
          <w:rFonts w:eastAsia="Times New Roman" w:cstheme="minorHAnsi"/>
          <w:color w:val="000000"/>
        </w:rPr>
        <w:t>20</w:t>
      </w:r>
      <w:r w:rsidR="00DC3BDA">
        <w:rPr>
          <w:rFonts w:eastAsia="Times New Roman" w:cstheme="minorHAnsi"/>
          <w:color w:val="000000"/>
        </w:rPr>
        <w:t>20-</w:t>
      </w:r>
      <w:r w:rsidR="00BB20E4" w:rsidRPr="00BB20E4">
        <w:rPr>
          <w:rFonts w:eastAsia="Times New Roman" w:cstheme="minorHAnsi"/>
          <w:color w:val="000000"/>
        </w:rPr>
        <w:t xml:space="preserve">21. The </w:t>
      </w:r>
      <w:r w:rsidR="00DC3BDA">
        <w:rPr>
          <w:rFonts w:eastAsia="Times New Roman" w:cstheme="minorHAnsi"/>
          <w:color w:val="000000"/>
        </w:rPr>
        <w:t xml:space="preserve">SY </w:t>
      </w:r>
      <w:r w:rsidR="00BB20E4" w:rsidRPr="00BB20E4">
        <w:rPr>
          <w:rFonts w:eastAsia="Times New Roman" w:cstheme="minorHAnsi"/>
          <w:color w:val="000000"/>
        </w:rPr>
        <w:t>20</w:t>
      </w:r>
      <w:r w:rsidR="00DC3BDA">
        <w:rPr>
          <w:rFonts w:eastAsia="Times New Roman" w:cstheme="minorHAnsi"/>
          <w:color w:val="000000"/>
        </w:rPr>
        <w:t>20-</w:t>
      </w:r>
      <w:r w:rsidR="00BB20E4" w:rsidRPr="00BB20E4">
        <w:rPr>
          <w:rFonts w:eastAsia="Times New Roman" w:cstheme="minorHAnsi"/>
          <w:color w:val="000000"/>
        </w:rPr>
        <w:t xml:space="preserve">21 assessments were retrospectively administered in </w:t>
      </w:r>
      <w:r w:rsidR="00303577">
        <w:rPr>
          <w:rFonts w:eastAsia="Times New Roman" w:cstheme="minorHAnsi"/>
          <w:color w:val="000000"/>
        </w:rPr>
        <w:t>e</w:t>
      </w:r>
      <w:r w:rsidR="00BB20E4" w:rsidRPr="00BB20E4">
        <w:rPr>
          <w:rFonts w:eastAsia="Times New Roman" w:cstheme="minorHAnsi"/>
          <w:color w:val="000000"/>
        </w:rPr>
        <w:t xml:space="preserve">arly </w:t>
      </w:r>
      <w:r w:rsidR="00303577">
        <w:rPr>
          <w:rFonts w:eastAsia="Times New Roman" w:cstheme="minorHAnsi"/>
          <w:color w:val="000000"/>
        </w:rPr>
        <w:t>f</w:t>
      </w:r>
      <w:r w:rsidR="00BB20E4" w:rsidRPr="00BB20E4">
        <w:rPr>
          <w:rFonts w:eastAsia="Times New Roman" w:cstheme="minorHAnsi"/>
          <w:color w:val="000000"/>
        </w:rPr>
        <w:t>all of 2021 and several local school systems did not fully participate.</w:t>
      </w:r>
    </w:p>
    <w:p w14:paraId="770FC630" w14:textId="1BE8AD21" w:rsidR="00CE6EA2" w:rsidRPr="0099110B" w:rsidRDefault="007A6397" w:rsidP="00E45775">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Michigan</w:t>
      </w:r>
    </w:p>
    <w:p w14:paraId="4A3C796A" w14:textId="65798492" w:rsidR="00A76244" w:rsidRDefault="00CA4A4B" w:rsidP="00A76244">
      <w:pPr>
        <w:tabs>
          <w:tab w:val="left" w:pos="2914"/>
        </w:tabs>
        <w:spacing w:after="0" w:line="240" w:lineRule="auto"/>
        <w:rPr>
          <w:rFonts w:eastAsiaTheme="minorEastAsia" w:cstheme="minorHAnsi"/>
        </w:rPr>
      </w:pPr>
      <w:r w:rsidRPr="0099110B">
        <w:rPr>
          <w:rFonts w:eastAsiaTheme="minorEastAsia" w:cstheme="minorHAnsi"/>
        </w:rPr>
        <w:t>-</w:t>
      </w:r>
      <w:r w:rsidR="00546B6F">
        <w:rPr>
          <w:rFonts w:eastAsiaTheme="minorEastAsia" w:cstheme="minorHAnsi"/>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3855BBAF" w14:textId="10CAC4DB" w:rsidR="00D1213F" w:rsidRPr="00A76244" w:rsidRDefault="00D1213F" w:rsidP="00A76244">
      <w:pPr>
        <w:pStyle w:val="ListParagraph"/>
        <w:numPr>
          <w:ilvl w:val="0"/>
          <w:numId w:val="37"/>
        </w:numPr>
        <w:tabs>
          <w:tab w:val="left" w:pos="2914"/>
        </w:tabs>
        <w:spacing w:line="240" w:lineRule="auto"/>
        <w:rPr>
          <w:rFonts w:eastAsiaTheme="minorEastAsia" w:cstheme="minorHAnsi"/>
        </w:rPr>
      </w:pPr>
      <w:r w:rsidRPr="00A76244">
        <w:rPr>
          <w:rFonts w:eastAsia="Times New Roman" w:cstheme="minorHAnsi"/>
        </w:rPr>
        <w:t xml:space="preserve">The </w:t>
      </w:r>
      <w:r w:rsidR="00370E69" w:rsidRPr="00A76244">
        <w:rPr>
          <w:rFonts w:eastAsia="Times New Roman" w:cstheme="minorHAnsi"/>
        </w:rPr>
        <w:t>year-to-year</w:t>
      </w:r>
      <w:r w:rsidRPr="00A76244">
        <w:rPr>
          <w:rFonts w:eastAsia="Times New Roman" w:cstheme="minorHAnsi"/>
        </w:rPr>
        <w:t xml:space="preserve"> swings are due to changes </w:t>
      </w:r>
      <w:proofErr w:type="gramStart"/>
      <w:r w:rsidRPr="00A76244">
        <w:rPr>
          <w:rFonts w:eastAsia="Times New Roman" w:cstheme="minorHAnsi"/>
        </w:rPr>
        <w:t xml:space="preserve">as a result </w:t>
      </w:r>
      <w:r w:rsidR="00FB2698">
        <w:rPr>
          <w:rFonts w:eastAsia="Times New Roman" w:cstheme="minorHAnsi"/>
        </w:rPr>
        <w:t>of</w:t>
      </w:r>
      <w:proofErr w:type="gramEnd"/>
      <w:r w:rsidR="00FB2698">
        <w:rPr>
          <w:rFonts w:eastAsia="Times New Roman" w:cstheme="minorHAnsi"/>
        </w:rPr>
        <w:t xml:space="preserve"> </w:t>
      </w:r>
      <w:r w:rsidRPr="00A76244">
        <w:rPr>
          <w:rFonts w:eastAsia="Times New Roman" w:cstheme="minorHAnsi"/>
        </w:rPr>
        <w:t>the pandemic. In SY 2020-21, assessment participation was low due to the pandemic and remote learning. In SY 2021-22, assessment participation increased due to the shift from remote learning to the classroom.</w:t>
      </w:r>
    </w:p>
    <w:p w14:paraId="6CB45C29" w14:textId="788F9BB7" w:rsidR="00E84864" w:rsidRPr="0099110B" w:rsidRDefault="00E84864"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Minnesota</w:t>
      </w:r>
    </w:p>
    <w:p w14:paraId="01221164" w14:textId="04B86C2D" w:rsidR="00D1213F" w:rsidRDefault="00D1213F" w:rsidP="00A76244">
      <w:pPr>
        <w:spacing w:after="0"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477853EB" w14:textId="372873DD" w:rsidR="00D1213F" w:rsidRDefault="00D1213F" w:rsidP="00080520">
      <w:pPr>
        <w:pStyle w:val="ListParagraph"/>
        <w:numPr>
          <w:ilvl w:val="0"/>
          <w:numId w:val="30"/>
        </w:numPr>
        <w:spacing w:line="240" w:lineRule="auto"/>
        <w:ind w:left="720"/>
        <w:rPr>
          <w:rFonts w:eastAsia="Times New Roman" w:cstheme="minorHAnsi"/>
          <w:color w:val="000000"/>
        </w:rPr>
      </w:pPr>
      <w:r w:rsidRPr="00D1213F">
        <w:rPr>
          <w:rFonts w:eastAsia="Times New Roman" w:cstheme="minorHAnsi"/>
          <w:color w:val="000000"/>
        </w:rPr>
        <w:t>IEP teams most likely considered a larger number of their students cognitively impacted enough to require those students to take the M</w:t>
      </w:r>
      <w:r w:rsidR="0036132A">
        <w:rPr>
          <w:rFonts w:eastAsia="Times New Roman" w:cstheme="minorHAnsi"/>
          <w:color w:val="000000"/>
        </w:rPr>
        <w:t xml:space="preserve">innesota </w:t>
      </w:r>
      <w:r w:rsidRPr="00D1213F">
        <w:rPr>
          <w:rFonts w:eastAsia="Times New Roman" w:cstheme="minorHAnsi"/>
          <w:color w:val="000000"/>
        </w:rPr>
        <w:t>T</w:t>
      </w:r>
      <w:r w:rsidR="0036132A">
        <w:rPr>
          <w:rFonts w:eastAsia="Times New Roman" w:cstheme="minorHAnsi"/>
          <w:color w:val="000000"/>
        </w:rPr>
        <w:t xml:space="preserve">est of </w:t>
      </w:r>
      <w:r w:rsidRPr="00D1213F">
        <w:rPr>
          <w:rFonts w:eastAsia="Times New Roman" w:cstheme="minorHAnsi"/>
          <w:color w:val="000000"/>
        </w:rPr>
        <w:t>A</w:t>
      </w:r>
      <w:r w:rsidR="0036132A">
        <w:rPr>
          <w:rFonts w:eastAsia="Times New Roman" w:cstheme="minorHAnsi"/>
          <w:color w:val="000000"/>
        </w:rPr>
        <w:t xml:space="preserve">cademic </w:t>
      </w:r>
      <w:r w:rsidRPr="00D1213F">
        <w:rPr>
          <w:rFonts w:eastAsia="Times New Roman" w:cstheme="minorHAnsi"/>
          <w:color w:val="000000"/>
        </w:rPr>
        <w:t>S</w:t>
      </w:r>
      <w:r w:rsidR="0036132A">
        <w:rPr>
          <w:rFonts w:eastAsia="Times New Roman" w:cstheme="minorHAnsi"/>
          <w:color w:val="000000"/>
        </w:rPr>
        <w:t>kills (MTAS)</w:t>
      </w:r>
      <w:r w:rsidRPr="00D1213F">
        <w:rPr>
          <w:rFonts w:eastAsia="Times New Roman" w:cstheme="minorHAnsi"/>
          <w:color w:val="000000"/>
        </w:rPr>
        <w:t xml:space="preserve"> instead of the M</w:t>
      </w:r>
      <w:r w:rsidR="00B628A7">
        <w:rPr>
          <w:rFonts w:eastAsia="Times New Roman" w:cstheme="minorHAnsi"/>
          <w:color w:val="000000"/>
        </w:rPr>
        <w:t xml:space="preserve">innesota </w:t>
      </w:r>
      <w:r w:rsidRPr="00D1213F">
        <w:rPr>
          <w:rFonts w:eastAsia="Times New Roman" w:cstheme="minorHAnsi"/>
          <w:color w:val="000000"/>
        </w:rPr>
        <w:t>C</w:t>
      </w:r>
      <w:r w:rsidR="00B628A7">
        <w:rPr>
          <w:rFonts w:eastAsia="Times New Roman" w:cstheme="minorHAnsi"/>
          <w:color w:val="000000"/>
        </w:rPr>
        <w:t xml:space="preserve">omprehensive </w:t>
      </w:r>
      <w:r w:rsidRPr="00D1213F">
        <w:rPr>
          <w:rFonts w:eastAsia="Times New Roman" w:cstheme="minorHAnsi"/>
          <w:color w:val="000000"/>
        </w:rPr>
        <w:t>A</w:t>
      </w:r>
      <w:r w:rsidR="00B628A7">
        <w:rPr>
          <w:rFonts w:eastAsia="Times New Roman" w:cstheme="minorHAnsi"/>
          <w:color w:val="000000"/>
        </w:rPr>
        <w:t>ssessments (MCA)</w:t>
      </w:r>
      <w:r w:rsidRPr="00D1213F">
        <w:rPr>
          <w:rFonts w:eastAsia="Times New Roman" w:cstheme="minorHAnsi"/>
          <w:color w:val="000000"/>
        </w:rPr>
        <w:t xml:space="preserve"> + accommodations</w:t>
      </w:r>
      <w:r w:rsidRPr="00BB20E4">
        <w:rPr>
          <w:rFonts w:eastAsia="Times New Roman" w:cstheme="minorHAnsi"/>
          <w:color w:val="000000"/>
        </w:rPr>
        <w:t>.</w:t>
      </w:r>
    </w:p>
    <w:p w14:paraId="1559B0A7" w14:textId="74FEF4F2" w:rsidR="003E48EB" w:rsidRPr="0099110B" w:rsidRDefault="003E48EB" w:rsidP="00E45775">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Mississippi</w:t>
      </w:r>
    </w:p>
    <w:p w14:paraId="7E39146A" w14:textId="1898A4A6" w:rsidR="00A76244" w:rsidRDefault="005D0EE6" w:rsidP="00A76244">
      <w:pPr>
        <w:spacing w:after="0" w:line="240" w:lineRule="auto"/>
        <w:rPr>
          <w:rFonts w:eastAsiaTheme="minorEastAsia" w:cstheme="minorHAnsi"/>
        </w:rPr>
      </w:pPr>
      <w:r w:rsidRPr="0099110B">
        <w:rPr>
          <w:rFonts w:eastAsiaTheme="minorEastAsia" w:cstheme="minorHAnsi"/>
        </w:rPr>
        <w:t>-</w:t>
      </w:r>
      <w:r w:rsidR="00491D7B">
        <w:rPr>
          <w:rFonts w:eastAsiaTheme="minorEastAsia" w:cstheme="minorHAnsi"/>
        </w:rPr>
        <w:t xml:space="preserve"> </w:t>
      </w:r>
      <w:r w:rsidR="00367298">
        <w:rPr>
          <w:rFonts w:eastAsiaTheme="minorEastAsia" w:cstheme="minorHAnsi"/>
        </w:rPr>
        <w:t xml:space="preserve">The </w:t>
      </w:r>
      <w:r w:rsidR="00491D7B">
        <w:rPr>
          <w:rFonts w:eastAsiaTheme="minorEastAsia" w:cstheme="minorHAnsi"/>
        </w:rPr>
        <w:t>State provided the following response(s) to large Year to Year change(s)</w:t>
      </w:r>
      <w:r w:rsidRPr="0099110B">
        <w:rPr>
          <w:rFonts w:eastAsiaTheme="minorEastAsia" w:cstheme="minorHAnsi"/>
        </w:rPr>
        <w:t>:</w:t>
      </w:r>
    </w:p>
    <w:p w14:paraId="3C137524" w14:textId="4A1E9DC8" w:rsidR="004F0851" w:rsidRPr="00A76244" w:rsidRDefault="00E44F5A" w:rsidP="00A76244">
      <w:pPr>
        <w:pStyle w:val="ListParagraph"/>
        <w:numPr>
          <w:ilvl w:val="0"/>
          <w:numId w:val="38"/>
        </w:numPr>
        <w:spacing w:line="240" w:lineRule="auto"/>
        <w:rPr>
          <w:rFonts w:eastAsiaTheme="minorEastAsia" w:cstheme="minorHAnsi"/>
        </w:rPr>
      </w:pPr>
      <w:r>
        <w:rPr>
          <w:rFonts w:eastAsia="Times New Roman" w:cstheme="minorHAnsi"/>
          <w:color w:val="000000"/>
        </w:rPr>
        <w:t>V</w:t>
      </w:r>
      <w:r w:rsidR="00D1213F" w:rsidRPr="00A76244">
        <w:rPr>
          <w:rFonts w:eastAsia="Times New Roman" w:cstheme="minorHAnsi"/>
          <w:color w:val="000000"/>
        </w:rPr>
        <w:t xml:space="preserve">ariances </w:t>
      </w:r>
      <w:r>
        <w:rPr>
          <w:rFonts w:eastAsia="Times New Roman" w:cstheme="minorHAnsi"/>
          <w:color w:val="000000"/>
        </w:rPr>
        <w:t xml:space="preserve">are </w:t>
      </w:r>
      <w:r w:rsidR="00D1213F" w:rsidRPr="00A76244">
        <w:rPr>
          <w:rFonts w:eastAsia="Times New Roman" w:cstheme="minorHAnsi"/>
          <w:color w:val="000000"/>
        </w:rPr>
        <w:t>related to COVID-19</w:t>
      </w:r>
      <w:r w:rsidR="00467F72" w:rsidRPr="00A76244">
        <w:rPr>
          <w:rFonts w:eastAsia="Times New Roman" w:cstheme="minorHAnsi"/>
          <w:color w:val="000000"/>
        </w:rPr>
        <w:t>.</w:t>
      </w:r>
    </w:p>
    <w:p w14:paraId="0958D896" w14:textId="77777777" w:rsidR="00237BD0" w:rsidRPr="0099110B" w:rsidRDefault="00237BD0"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Missouri</w:t>
      </w:r>
    </w:p>
    <w:p w14:paraId="4FAEB1FB" w14:textId="77777777" w:rsidR="00A76244" w:rsidRDefault="002061F2" w:rsidP="00A76244">
      <w:pPr>
        <w:spacing w:after="0" w:line="240" w:lineRule="auto"/>
        <w:rPr>
          <w:rFonts w:eastAsiaTheme="minorEastAsia" w:cstheme="minorHAnsi"/>
        </w:rPr>
      </w:pPr>
      <w:r w:rsidRPr="0099110B">
        <w:rPr>
          <w:rFonts w:eastAsiaTheme="minorEastAsia" w:cstheme="minorHAnsi"/>
        </w:rPr>
        <w:t xml:space="preserve">- </w:t>
      </w:r>
      <w:r w:rsidR="00367298">
        <w:rPr>
          <w:rFonts w:eastAsiaTheme="minorEastAsia" w:cstheme="minorHAnsi"/>
        </w:rPr>
        <w:t xml:space="preserve">The </w:t>
      </w:r>
      <w:r w:rsidR="00CA4A4B">
        <w:rPr>
          <w:rFonts w:eastAsiaTheme="minorEastAsia" w:cstheme="minorHAnsi"/>
        </w:rPr>
        <w:t>State provided the following response(s) to large Year to Year change(s)</w:t>
      </w:r>
      <w:r w:rsidR="00CA4A4B" w:rsidRPr="0099110B">
        <w:rPr>
          <w:rFonts w:eastAsiaTheme="minorEastAsia" w:cstheme="minorHAnsi"/>
        </w:rPr>
        <w:t>:</w:t>
      </w:r>
    </w:p>
    <w:p w14:paraId="64E2936C" w14:textId="07F8DF1D" w:rsidR="00CA4A4B" w:rsidRPr="00A76244" w:rsidRDefault="00D1213F" w:rsidP="00A76244">
      <w:pPr>
        <w:pStyle w:val="ListParagraph"/>
        <w:numPr>
          <w:ilvl w:val="0"/>
          <w:numId w:val="38"/>
        </w:numPr>
        <w:spacing w:line="240" w:lineRule="auto"/>
        <w:rPr>
          <w:rFonts w:eastAsiaTheme="minorEastAsia" w:cstheme="minorHAnsi"/>
        </w:rPr>
      </w:pPr>
      <w:r w:rsidRPr="00A76244">
        <w:rPr>
          <w:rFonts w:eastAsiaTheme="minorEastAsia" w:cstheme="minorHAnsi"/>
        </w:rPr>
        <w:t>The state assessments include universal tools that are available for all students</w:t>
      </w:r>
      <w:r w:rsidR="004A1E01">
        <w:rPr>
          <w:rFonts w:eastAsiaTheme="minorEastAsia" w:cstheme="minorHAnsi"/>
        </w:rPr>
        <w:t>,</w:t>
      </w:r>
      <w:r w:rsidRPr="00A76244">
        <w:rPr>
          <w:rFonts w:eastAsiaTheme="minorEastAsia" w:cstheme="minorHAnsi"/>
        </w:rPr>
        <w:t xml:space="preserve"> resulting in fewer additional accommodations needed for students with disabilities.</w:t>
      </w:r>
    </w:p>
    <w:p w14:paraId="6B78108A" w14:textId="77777777" w:rsidR="00C20B5E" w:rsidRPr="0099110B" w:rsidRDefault="00C20B5E"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Montana</w:t>
      </w:r>
    </w:p>
    <w:p w14:paraId="4BFBD89B" w14:textId="4FA0AD33" w:rsidR="00CD05FC" w:rsidRDefault="00CD05FC" w:rsidP="00A76244">
      <w:pPr>
        <w:spacing w:after="0"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0F61DB4A" w14:textId="2FE49E2F" w:rsidR="006C19D1" w:rsidRPr="00CD05FC" w:rsidRDefault="00CD05FC" w:rsidP="00080520">
      <w:pPr>
        <w:pStyle w:val="ListParagraph"/>
        <w:numPr>
          <w:ilvl w:val="0"/>
          <w:numId w:val="30"/>
        </w:numPr>
        <w:spacing w:line="240" w:lineRule="auto"/>
        <w:ind w:left="720"/>
        <w:rPr>
          <w:rFonts w:eastAsia="Times New Roman" w:cstheme="minorHAnsi"/>
          <w:color w:val="000000"/>
        </w:rPr>
      </w:pPr>
      <w:r w:rsidRPr="00CD05FC">
        <w:rPr>
          <w:rFonts w:eastAsia="Times New Roman" w:cstheme="minorHAnsi"/>
          <w:color w:val="000000"/>
        </w:rPr>
        <w:t xml:space="preserve">The decreases in student rate from </w:t>
      </w:r>
      <w:r w:rsidR="001E6733">
        <w:rPr>
          <w:rFonts w:eastAsia="Times New Roman" w:cstheme="minorHAnsi"/>
          <w:color w:val="000000"/>
        </w:rPr>
        <w:t xml:space="preserve">SY </w:t>
      </w:r>
      <w:r w:rsidRPr="00CD05FC">
        <w:rPr>
          <w:rFonts w:eastAsia="Times New Roman" w:cstheme="minorHAnsi"/>
          <w:color w:val="000000"/>
        </w:rPr>
        <w:t xml:space="preserve">2020-21 to </w:t>
      </w:r>
      <w:r w:rsidR="001E6733">
        <w:rPr>
          <w:rFonts w:eastAsia="Times New Roman" w:cstheme="minorHAnsi"/>
          <w:color w:val="000000"/>
        </w:rPr>
        <w:t xml:space="preserve">SY </w:t>
      </w:r>
      <w:r w:rsidRPr="00CD05FC">
        <w:rPr>
          <w:rFonts w:eastAsia="Times New Roman" w:cstheme="minorHAnsi"/>
          <w:color w:val="000000"/>
        </w:rPr>
        <w:t>2021-22 are consistent with the overall enrollment changes the state has observed over the period of the COVID-19 pandemic. These changes may be attributable to parents homeschooling their children and other education factors that have been impacted by the pandemic. The students who tested with accommodations are one of the student groups that the state is aware has been most impacted by the pandemic.</w:t>
      </w:r>
      <w:r w:rsidR="001E6733">
        <w:rPr>
          <w:rFonts w:eastAsia="Times New Roman" w:cstheme="minorHAnsi"/>
          <w:color w:val="000000"/>
        </w:rPr>
        <w:t xml:space="preserve"> </w:t>
      </w:r>
      <w:r w:rsidRPr="00CD05FC">
        <w:rPr>
          <w:rFonts w:eastAsia="Times New Roman" w:cstheme="minorHAnsi"/>
          <w:color w:val="000000"/>
        </w:rPr>
        <w:t xml:space="preserve">Montana received the federal accountability and participation waiver in March 2021. Students with significant cognitive disabilities may have been more vulnerable to the effects of the pandemic due to the learning conditions required for instruction and the medical needs that many of these children have. The Alternate test is administered in a 1:1 </w:t>
      </w:r>
      <w:r w:rsidR="00BE1A60" w:rsidRPr="00CD05FC">
        <w:rPr>
          <w:rFonts w:eastAsia="Times New Roman" w:cstheme="minorHAnsi"/>
          <w:color w:val="000000"/>
        </w:rPr>
        <w:t>format</w:t>
      </w:r>
      <w:r w:rsidR="00BE1A60">
        <w:rPr>
          <w:rFonts w:eastAsia="Times New Roman" w:cstheme="minorHAnsi"/>
          <w:color w:val="000000"/>
        </w:rPr>
        <w:t xml:space="preserve"> and</w:t>
      </w:r>
      <w:r w:rsidRPr="00CD05FC">
        <w:rPr>
          <w:rFonts w:eastAsia="Times New Roman" w:cstheme="minorHAnsi"/>
          <w:color w:val="000000"/>
        </w:rPr>
        <w:t xml:space="preserve"> given the social distancing and pandemic-related effects</w:t>
      </w:r>
      <w:r w:rsidR="001E6733">
        <w:rPr>
          <w:rFonts w:eastAsia="Times New Roman" w:cstheme="minorHAnsi"/>
          <w:color w:val="000000"/>
        </w:rPr>
        <w:t>,</w:t>
      </w:r>
      <w:r w:rsidRPr="00CD05FC">
        <w:rPr>
          <w:rFonts w:eastAsia="Times New Roman" w:cstheme="minorHAnsi"/>
          <w:color w:val="000000"/>
        </w:rPr>
        <w:t xml:space="preserve"> participation was impacted. When it was unsafe to participate in state assessments under the federal waiver, the O</w:t>
      </w:r>
      <w:r w:rsidR="0099271C">
        <w:rPr>
          <w:rFonts w:eastAsia="Times New Roman" w:cstheme="minorHAnsi"/>
          <w:color w:val="000000"/>
        </w:rPr>
        <w:t xml:space="preserve">ffice of Public </w:t>
      </w:r>
      <w:r w:rsidRPr="00CD05FC">
        <w:rPr>
          <w:rFonts w:eastAsia="Times New Roman" w:cstheme="minorHAnsi"/>
          <w:color w:val="000000"/>
        </w:rPr>
        <w:t>I</w:t>
      </w:r>
      <w:r w:rsidR="0099271C">
        <w:rPr>
          <w:rFonts w:eastAsia="Times New Roman" w:cstheme="minorHAnsi"/>
          <w:color w:val="000000"/>
        </w:rPr>
        <w:t>nstruction (OPI)</w:t>
      </w:r>
      <w:r w:rsidRPr="00CD05FC">
        <w:rPr>
          <w:rFonts w:eastAsia="Times New Roman" w:cstheme="minorHAnsi"/>
          <w:color w:val="000000"/>
        </w:rPr>
        <w:t xml:space="preserve"> allowed school districts to use the COVID-19 medical exemption which is included in the counts for </w:t>
      </w:r>
      <w:r w:rsidR="00114232">
        <w:rPr>
          <w:rFonts w:eastAsia="Times New Roman" w:cstheme="minorHAnsi"/>
          <w:color w:val="000000"/>
        </w:rPr>
        <w:t>non</w:t>
      </w:r>
      <w:r w:rsidR="00A63C8A">
        <w:rPr>
          <w:rFonts w:eastAsia="Times New Roman" w:cstheme="minorHAnsi"/>
          <w:color w:val="000000"/>
        </w:rPr>
        <w:t>-participants</w:t>
      </w:r>
      <w:r w:rsidR="00B54CA0">
        <w:rPr>
          <w:rFonts w:eastAsia="Times New Roman" w:cstheme="minorHAnsi"/>
          <w:color w:val="000000"/>
        </w:rPr>
        <w:t>.</w:t>
      </w:r>
    </w:p>
    <w:p w14:paraId="071CBF4E" w14:textId="77777777" w:rsidR="005D2FC9" w:rsidRPr="0099110B" w:rsidRDefault="005D2FC9" w:rsidP="00E45775">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Nebraska</w:t>
      </w:r>
    </w:p>
    <w:p w14:paraId="5782BD65" w14:textId="152A262F" w:rsidR="00F66FCF" w:rsidRDefault="00F66FCF" w:rsidP="00A76244">
      <w:pPr>
        <w:spacing w:after="0"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Pr>
          <w:rFonts w:eastAsiaTheme="minorEastAsia" w:cstheme="minorHAnsi"/>
        </w:rPr>
        <w:t>The State provided the following response(s) to large Year to Year change(s)</w:t>
      </w:r>
      <w:r w:rsidRPr="0099110B">
        <w:rPr>
          <w:rFonts w:eastAsiaTheme="minorEastAsia" w:cstheme="minorHAnsi"/>
        </w:rPr>
        <w:t>:</w:t>
      </w:r>
    </w:p>
    <w:p w14:paraId="4DA89D36" w14:textId="63DEDABB" w:rsidR="00F66FCF" w:rsidRPr="00F66FCF" w:rsidRDefault="00F66FCF" w:rsidP="00080520">
      <w:pPr>
        <w:pStyle w:val="ListParagraph"/>
        <w:numPr>
          <w:ilvl w:val="0"/>
          <w:numId w:val="30"/>
        </w:numPr>
        <w:spacing w:line="240" w:lineRule="auto"/>
        <w:ind w:left="720"/>
        <w:rPr>
          <w:rFonts w:eastAsia="Times New Roman" w:cstheme="minorHAnsi"/>
          <w:color w:val="000000"/>
        </w:rPr>
      </w:pPr>
      <w:r w:rsidRPr="00F66FCF">
        <w:rPr>
          <w:rFonts w:eastAsia="Times New Roman" w:cstheme="minorHAnsi"/>
          <w:color w:val="000000"/>
        </w:rPr>
        <w:t xml:space="preserve">There were a high number of students not testing in </w:t>
      </w:r>
      <w:r w:rsidR="00CC6712">
        <w:rPr>
          <w:rFonts w:eastAsia="Times New Roman" w:cstheme="minorHAnsi"/>
          <w:color w:val="000000"/>
        </w:rPr>
        <w:t>SY 20</w:t>
      </w:r>
      <w:r w:rsidRPr="00F66FCF">
        <w:rPr>
          <w:rFonts w:eastAsia="Times New Roman" w:cstheme="minorHAnsi"/>
          <w:color w:val="000000"/>
        </w:rPr>
        <w:t>20-21 due to COVID</w:t>
      </w:r>
      <w:r w:rsidR="00351324">
        <w:rPr>
          <w:rFonts w:eastAsia="Times New Roman" w:cstheme="minorHAnsi"/>
          <w:color w:val="000000"/>
        </w:rPr>
        <w:t>-19</w:t>
      </w:r>
      <w:r w:rsidR="00CC6712">
        <w:rPr>
          <w:rFonts w:eastAsia="Times New Roman" w:cstheme="minorHAnsi"/>
          <w:color w:val="000000"/>
        </w:rPr>
        <w:t>;</w:t>
      </w:r>
      <w:r w:rsidRPr="00F66FCF">
        <w:rPr>
          <w:rFonts w:eastAsia="Times New Roman" w:cstheme="minorHAnsi"/>
          <w:color w:val="000000"/>
        </w:rPr>
        <w:t xml:space="preserve"> the number of student</w:t>
      </w:r>
      <w:r w:rsidR="00F14835">
        <w:rPr>
          <w:rFonts w:eastAsia="Times New Roman" w:cstheme="minorHAnsi"/>
          <w:color w:val="000000"/>
        </w:rPr>
        <w:t>s</w:t>
      </w:r>
      <w:r w:rsidRPr="00F66FCF">
        <w:rPr>
          <w:rFonts w:eastAsia="Times New Roman" w:cstheme="minorHAnsi"/>
          <w:color w:val="000000"/>
        </w:rPr>
        <w:t xml:space="preserve"> tested in </w:t>
      </w:r>
      <w:r w:rsidR="00CC6712">
        <w:rPr>
          <w:rFonts w:eastAsia="Times New Roman" w:cstheme="minorHAnsi"/>
          <w:color w:val="000000"/>
        </w:rPr>
        <w:t>SY 20</w:t>
      </w:r>
      <w:r w:rsidRPr="00F66FCF">
        <w:rPr>
          <w:rFonts w:eastAsia="Times New Roman" w:cstheme="minorHAnsi"/>
          <w:color w:val="000000"/>
        </w:rPr>
        <w:t>21-22 has increased as the counts returned to normal.</w:t>
      </w:r>
    </w:p>
    <w:p w14:paraId="6C22F573" w14:textId="77777777" w:rsidR="00805AFE" w:rsidRPr="0099110B" w:rsidRDefault="00805AFE"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Nevada</w:t>
      </w:r>
    </w:p>
    <w:p w14:paraId="6F925AC2" w14:textId="0B890748" w:rsidR="0068000C" w:rsidRDefault="003502C7" w:rsidP="00BE2136">
      <w:pPr>
        <w:spacing w:line="240" w:lineRule="auto"/>
        <w:rPr>
          <w:rFonts w:eastAsia="Times New Roman" w:cstheme="minorHAnsi"/>
          <w:color w:val="000000"/>
        </w:rPr>
      </w:pPr>
      <w:r w:rsidRPr="0099110B">
        <w:rPr>
          <w:rFonts w:eastAsia="Times New Roman" w:cstheme="minorHAnsi"/>
          <w:color w:val="000000"/>
        </w:rPr>
        <w:t>-</w:t>
      </w:r>
      <w:r w:rsidR="00F43FDD">
        <w:rPr>
          <w:rFonts w:eastAsia="Times New Roman" w:cstheme="minorHAnsi"/>
          <w:color w:val="000000"/>
        </w:rPr>
        <w:t xml:space="preserve"> </w:t>
      </w:r>
      <w:r w:rsidR="008D5037" w:rsidRPr="008D5037">
        <w:rPr>
          <w:rFonts w:eastAsia="Times New Roman" w:cstheme="minorHAnsi"/>
          <w:color w:val="000000"/>
        </w:rPr>
        <w:t>The most commonly needed tools and supports for students with disabilities (calculators, read aloud directions, headphones/noise buffers, specialized furniture or equipment, enlarged screens, color choices/contrasting colors/color overlay, individual/small group testing) are available to all students and are not identified as accommodations when provided to students with disabilities.</w:t>
      </w:r>
      <w:r w:rsidR="004245E1">
        <w:rPr>
          <w:rFonts w:eastAsia="Times New Roman" w:cstheme="minorHAnsi"/>
          <w:color w:val="000000"/>
        </w:rPr>
        <w:t xml:space="preserve"> </w:t>
      </w:r>
      <w:r w:rsidR="008D5037" w:rsidRPr="008D5037">
        <w:rPr>
          <w:rFonts w:eastAsia="Times New Roman" w:cstheme="minorHAnsi"/>
          <w:color w:val="000000"/>
        </w:rPr>
        <w:t>A highly specialized, 15-item list of accommodations is available to students with disabilities if the need for such an accommodation is determined by the student’s IEP team.</w:t>
      </w:r>
      <w:r w:rsidR="00080520">
        <w:rPr>
          <w:rFonts w:eastAsia="Times New Roman" w:cstheme="minorHAnsi"/>
          <w:color w:val="000000"/>
        </w:rPr>
        <w:t xml:space="preserve"> </w:t>
      </w:r>
      <w:r w:rsidR="008D5037" w:rsidRPr="008D5037">
        <w:rPr>
          <w:rFonts w:eastAsia="Times New Roman" w:cstheme="minorHAnsi"/>
          <w:color w:val="000000"/>
        </w:rPr>
        <w:t>These accommodations include such items as calculators with special features, Braille test materials, closed captioning, and video sign language, which are rarely needed by students with disabilities</w:t>
      </w:r>
      <w:r w:rsidR="00D25E7E" w:rsidRPr="0099110B">
        <w:rPr>
          <w:rFonts w:eastAsia="Times New Roman" w:cstheme="minorHAnsi"/>
          <w:color w:val="000000"/>
        </w:rPr>
        <w:t>.</w:t>
      </w:r>
    </w:p>
    <w:p w14:paraId="32769D23" w14:textId="6AE4E5BE" w:rsidR="008D5037" w:rsidRPr="007D2F32" w:rsidRDefault="008D5037" w:rsidP="007D2F32">
      <w:pPr>
        <w:pStyle w:val="ListParagraph"/>
        <w:numPr>
          <w:ilvl w:val="0"/>
          <w:numId w:val="48"/>
        </w:numPr>
        <w:spacing w:after="0" w:line="240" w:lineRule="auto"/>
        <w:ind w:left="90" w:hanging="90"/>
        <w:rPr>
          <w:rFonts w:eastAsiaTheme="minorEastAsia" w:cstheme="minorHAnsi"/>
        </w:rPr>
      </w:pPr>
      <w:r w:rsidRPr="007D2F32">
        <w:rPr>
          <w:rFonts w:eastAsiaTheme="minorEastAsia" w:cstheme="minorHAnsi"/>
        </w:rPr>
        <w:t>The State provided the following response(s) to large Year to Year change(s):</w:t>
      </w:r>
    </w:p>
    <w:p w14:paraId="5AEE90B7" w14:textId="7071D1AB" w:rsidR="008D5037" w:rsidRDefault="008D5037" w:rsidP="00080520">
      <w:pPr>
        <w:pStyle w:val="ListParagraph"/>
        <w:numPr>
          <w:ilvl w:val="0"/>
          <w:numId w:val="30"/>
        </w:numPr>
        <w:spacing w:line="240" w:lineRule="auto"/>
        <w:ind w:left="720"/>
        <w:rPr>
          <w:rFonts w:eastAsia="Times New Roman" w:cstheme="minorHAnsi"/>
          <w:color w:val="000000"/>
        </w:rPr>
      </w:pPr>
      <w:r w:rsidRPr="008D5037">
        <w:rPr>
          <w:rFonts w:eastAsia="Times New Roman" w:cstheme="minorHAnsi"/>
          <w:color w:val="000000"/>
        </w:rPr>
        <w:t xml:space="preserve">The </w:t>
      </w:r>
      <w:r w:rsidR="00370E69" w:rsidRPr="008D5037">
        <w:rPr>
          <w:rFonts w:eastAsia="Times New Roman" w:cstheme="minorHAnsi"/>
          <w:color w:val="000000"/>
        </w:rPr>
        <w:t>year</w:t>
      </w:r>
      <w:r w:rsidR="00370E69">
        <w:rPr>
          <w:rFonts w:eastAsia="Times New Roman" w:cstheme="minorHAnsi"/>
          <w:color w:val="000000"/>
        </w:rPr>
        <w:t>-to-year</w:t>
      </w:r>
      <w:r w:rsidRPr="008D5037">
        <w:rPr>
          <w:rFonts w:eastAsia="Times New Roman" w:cstheme="minorHAnsi"/>
          <w:color w:val="000000"/>
        </w:rPr>
        <w:t xml:space="preserve"> increase in the number of students with disabilities participating in all assessment types between </w:t>
      </w:r>
      <w:r w:rsidR="005F092A">
        <w:rPr>
          <w:rFonts w:eastAsia="Times New Roman" w:cstheme="minorHAnsi"/>
          <w:color w:val="000000"/>
        </w:rPr>
        <w:t>SY</w:t>
      </w:r>
      <w:r w:rsidR="005F092A" w:rsidRPr="008D5037">
        <w:rPr>
          <w:rFonts w:eastAsia="Times New Roman" w:cstheme="minorHAnsi"/>
          <w:color w:val="000000"/>
        </w:rPr>
        <w:t xml:space="preserve"> </w:t>
      </w:r>
      <w:r w:rsidRPr="008D5037">
        <w:rPr>
          <w:rFonts w:eastAsia="Times New Roman" w:cstheme="minorHAnsi"/>
          <w:color w:val="000000"/>
        </w:rPr>
        <w:t xml:space="preserve">2020-21 and </w:t>
      </w:r>
      <w:r w:rsidR="005F092A">
        <w:rPr>
          <w:rFonts w:eastAsia="Times New Roman" w:cstheme="minorHAnsi"/>
          <w:color w:val="000000"/>
        </w:rPr>
        <w:t xml:space="preserve">SY </w:t>
      </w:r>
      <w:r w:rsidRPr="008D5037">
        <w:rPr>
          <w:rFonts w:eastAsia="Times New Roman" w:cstheme="minorHAnsi"/>
          <w:color w:val="000000"/>
        </w:rPr>
        <w:t xml:space="preserve">2021-22 is the result of the return to full time in-person learning for </w:t>
      </w:r>
      <w:r w:rsidR="005F092A">
        <w:rPr>
          <w:rFonts w:eastAsia="Times New Roman" w:cstheme="minorHAnsi"/>
          <w:color w:val="000000"/>
        </w:rPr>
        <w:t xml:space="preserve">SY </w:t>
      </w:r>
      <w:r w:rsidRPr="008D5037">
        <w:rPr>
          <w:rFonts w:eastAsia="Times New Roman" w:cstheme="minorHAnsi"/>
          <w:color w:val="000000"/>
        </w:rPr>
        <w:t>2021-22 after COVID</w:t>
      </w:r>
      <w:r w:rsidR="00351324">
        <w:rPr>
          <w:rFonts w:eastAsia="Times New Roman" w:cstheme="minorHAnsi"/>
          <w:color w:val="000000"/>
        </w:rPr>
        <w:t>-19</w:t>
      </w:r>
      <w:r w:rsidRPr="008D5037">
        <w:rPr>
          <w:rFonts w:eastAsia="Times New Roman" w:cstheme="minorHAnsi"/>
          <w:color w:val="000000"/>
        </w:rPr>
        <w:t xml:space="preserve"> mitigation strategies closed many k-12 grade schools for </w:t>
      </w:r>
      <w:r w:rsidR="00351324">
        <w:rPr>
          <w:rFonts w:eastAsia="Times New Roman" w:cstheme="minorHAnsi"/>
          <w:color w:val="000000"/>
        </w:rPr>
        <w:t xml:space="preserve">SY </w:t>
      </w:r>
      <w:r w:rsidRPr="008D5037">
        <w:rPr>
          <w:rFonts w:eastAsia="Times New Roman" w:cstheme="minorHAnsi"/>
          <w:color w:val="000000"/>
        </w:rPr>
        <w:t>2020-21. Additionally, in correspondence dated May 17, 2021, the U.S. Department of Education approved a waiver for Nevada under the E</w:t>
      </w:r>
      <w:r w:rsidR="00591B29">
        <w:rPr>
          <w:rFonts w:eastAsia="Times New Roman" w:cstheme="minorHAnsi"/>
          <w:color w:val="000000"/>
        </w:rPr>
        <w:t xml:space="preserve">lementary and </w:t>
      </w:r>
      <w:r w:rsidRPr="008D5037">
        <w:rPr>
          <w:rFonts w:eastAsia="Times New Roman" w:cstheme="minorHAnsi"/>
          <w:color w:val="000000"/>
        </w:rPr>
        <w:t>S</w:t>
      </w:r>
      <w:r w:rsidR="00591B29">
        <w:rPr>
          <w:rFonts w:eastAsia="Times New Roman" w:cstheme="minorHAnsi"/>
          <w:color w:val="000000"/>
        </w:rPr>
        <w:t xml:space="preserve">econdary </w:t>
      </w:r>
      <w:r w:rsidRPr="008D5037">
        <w:rPr>
          <w:rFonts w:eastAsia="Times New Roman" w:cstheme="minorHAnsi"/>
          <w:color w:val="000000"/>
        </w:rPr>
        <w:t>E</w:t>
      </w:r>
      <w:r w:rsidR="00591B29">
        <w:rPr>
          <w:rFonts w:eastAsia="Times New Roman" w:cstheme="minorHAnsi"/>
          <w:color w:val="000000"/>
        </w:rPr>
        <w:t xml:space="preserve">ducation </w:t>
      </w:r>
      <w:r w:rsidRPr="008D5037">
        <w:rPr>
          <w:rFonts w:eastAsia="Times New Roman" w:cstheme="minorHAnsi"/>
          <w:color w:val="000000"/>
        </w:rPr>
        <w:t>A</w:t>
      </w:r>
      <w:r w:rsidR="00591B29">
        <w:rPr>
          <w:rFonts w:eastAsia="Times New Roman" w:cstheme="minorHAnsi"/>
          <w:color w:val="000000"/>
        </w:rPr>
        <w:t>ct (ESEA)</w:t>
      </w:r>
      <w:r w:rsidRPr="008D5037">
        <w:rPr>
          <w:rFonts w:eastAsia="Times New Roman" w:cstheme="minorHAnsi"/>
          <w:color w:val="000000"/>
        </w:rPr>
        <w:t xml:space="preserve">, specifically waiving accountability, school identification, and report card provisions related to accountability. The waiver correspondence encouraged the </w:t>
      </w:r>
      <w:r w:rsidR="003A6440">
        <w:rPr>
          <w:rFonts w:eastAsia="Times New Roman" w:cstheme="minorHAnsi"/>
          <w:color w:val="000000"/>
        </w:rPr>
        <w:t>s</w:t>
      </w:r>
      <w:r w:rsidRPr="008D5037">
        <w:rPr>
          <w:rFonts w:eastAsia="Times New Roman" w:cstheme="minorHAnsi"/>
          <w:color w:val="000000"/>
        </w:rPr>
        <w:t xml:space="preserve">tate “to prominently and in clear language provide information about the context of the data, including its limitations as a result of the pandemic. … [T]he results should include clearly worded context that such data are incomplete and, where applicable, are not representative of the make-up of the State, district, or school population.” This discussion makes clear that the data are incomplete and likely not representative of the make-up of the </w:t>
      </w:r>
      <w:r w:rsidR="00F70A52">
        <w:rPr>
          <w:rFonts w:eastAsia="Times New Roman" w:cstheme="minorHAnsi"/>
          <w:color w:val="000000"/>
        </w:rPr>
        <w:t>s</w:t>
      </w:r>
      <w:r w:rsidRPr="008D5037">
        <w:rPr>
          <w:rFonts w:eastAsia="Times New Roman" w:cstheme="minorHAnsi"/>
          <w:color w:val="000000"/>
        </w:rPr>
        <w:t>tate</w:t>
      </w:r>
      <w:r w:rsidR="00F70A52">
        <w:rPr>
          <w:rFonts w:eastAsia="Times New Roman" w:cstheme="minorHAnsi"/>
          <w:color w:val="000000"/>
        </w:rPr>
        <w:t>’s</w:t>
      </w:r>
      <w:r w:rsidRPr="008D5037">
        <w:rPr>
          <w:rFonts w:eastAsia="Times New Roman" w:cstheme="minorHAnsi"/>
          <w:color w:val="000000"/>
        </w:rPr>
        <w:t xml:space="preserve"> population.</w:t>
      </w:r>
    </w:p>
    <w:p w14:paraId="4AB64C34" w14:textId="66A174EE" w:rsidR="00FC0736" w:rsidRPr="0099110B" w:rsidRDefault="00FC0736" w:rsidP="00EE416D">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New </w:t>
      </w:r>
      <w:r>
        <w:rPr>
          <w:rFonts w:eastAsia="Times New Roman" w:cstheme="minorHAnsi"/>
          <w:b/>
          <w:bCs/>
          <w:color w:val="000000" w:themeColor="text1"/>
        </w:rPr>
        <w:t>Hampshire</w:t>
      </w:r>
    </w:p>
    <w:p w14:paraId="4E96538A" w14:textId="77E3BD6D" w:rsidR="00FC0736" w:rsidRDefault="00FC0736" w:rsidP="00EE416D">
      <w:pPr>
        <w:spacing w:after="0" w:line="240" w:lineRule="auto"/>
        <w:rPr>
          <w:rFonts w:eastAsiaTheme="minorEastAsia" w:cstheme="minorHAnsi"/>
        </w:rPr>
      </w:pPr>
      <w:r w:rsidRPr="0099110B">
        <w:rPr>
          <w:rFonts w:eastAsiaTheme="minorEastAsia" w:cstheme="minorHAnsi"/>
        </w:rPr>
        <w:t>-</w:t>
      </w:r>
      <w:r w:rsidRPr="00CA4A4B">
        <w:rPr>
          <w:rFonts w:eastAsia="Times New Roman"/>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09BCFE3F" w14:textId="77777777" w:rsidR="003824B2" w:rsidRDefault="00FC0736">
      <w:pPr>
        <w:pStyle w:val="ListParagraph"/>
        <w:numPr>
          <w:ilvl w:val="0"/>
          <w:numId w:val="30"/>
        </w:numPr>
        <w:spacing w:line="240" w:lineRule="auto"/>
        <w:ind w:left="720"/>
        <w:rPr>
          <w:rFonts w:eastAsia="Times New Roman" w:cstheme="minorHAnsi"/>
          <w:color w:val="000000"/>
        </w:rPr>
      </w:pPr>
      <w:r w:rsidRPr="00FC0736">
        <w:rPr>
          <w:rFonts w:eastAsia="Times New Roman" w:cstheme="minorHAnsi"/>
          <w:color w:val="000000"/>
        </w:rPr>
        <w:t>The previous year was during the pandemic, schools had to close</w:t>
      </w:r>
      <w:r w:rsidR="00F70A52" w:rsidRPr="00FC0736">
        <w:rPr>
          <w:rFonts w:eastAsia="Times New Roman" w:cstheme="minorHAnsi"/>
          <w:color w:val="000000"/>
        </w:rPr>
        <w:t>,</w:t>
      </w:r>
      <w:r w:rsidRPr="00FC0736">
        <w:rPr>
          <w:rFonts w:eastAsia="Times New Roman" w:cstheme="minorHAnsi"/>
          <w:color w:val="000000"/>
        </w:rPr>
        <w:t xml:space="preserve"> and many students were out with COVID</w:t>
      </w:r>
      <w:r w:rsidR="006526C5">
        <w:rPr>
          <w:rFonts w:eastAsia="Times New Roman" w:cstheme="minorHAnsi"/>
          <w:color w:val="000000"/>
        </w:rPr>
        <w:t>-19</w:t>
      </w:r>
      <w:r w:rsidRPr="00FC0736">
        <w:rPr>
          <w:rFonts w:eastAsia="Times New Roman" w:cstheme="minorHAnsi"/>
          <w:color w:val="000000"/>
        </w:rPr>
        <w:t>.</w:t>
      </w:r>
      <w:r w:rsidR="004245E1">
        <w:rPr>
          <w:rFonts w:eastAsia="Times New Roman" w:cstheme="minorHAnsi"/>
          <w:color w:val="000000"/>
        </w:rPr>
        <w:t xml:space="preserve"> </w:t>
      </w:r>
      <w:r w:rsidRPr="00FC0736">
        <w:rPr>
          <w:rFonts w:eastAsia="Times New Roman" w:cstheme="minorHAnsi"/>
          <w:color w:val="000000"/>
        </w:rPr>
        <w:t>This year</w:t>
      </w:r>
      <w:r w:rsidR="006526C5">
        <w:rPr>
          <w:rFonts w:eastAsia="Times New Roman" w:cstheme="minorHAnsi"/>
          <w:color w:val="000000"/>
        </w:rPr>
        <w:t>,</w:t>
      </w:r>
      <w:r w:rsidRPr="00FC0736">
        <w:rPr>
          <w:rFonts w:eastAsia="Times New Roman" w:cstheme="minorHAnsi"/>
          <w:color w:val="000000"/>
        </w:rPr>
        <w:t xml:space="preserve"> schools were open for most, if not all of the year</w:t>
      </w:r>
      <w:r w:rsidR="00F70A52">
        <w:rPr>
          <w:rFonts w:eastAsia="Times New Roman" w:cstheme="minorHAnsi"/>
          <w:color w:val="000000"/>
        </w:rPr>
        <w:t>.</w:t>
      </w:r>
      <w:r w:rsidRPr="00FC0736">
        <w:rPr>
          <w:rFonts w:eastAsia="Times New Roman" w:cstheme="minorHAnsi"/>
          <w:color w:val="000000"/>
        </w:rPr>
        <w:t xml:space="preserve"> </w:t>
      </w:r>
      <w:r w:rsidR="00F70A52">
        <w:rPr>
          <w:rFonts w:eastAsia="Times New Roman" w:cstheme="minorHAnsi"/>
          <w:color w:val="000000"/>
        </w:rPr>
        <w:t>G</w:t>
      </w:r>
      <w:r w:rsidRPr="00FC0736">
        <w:rPr>
          <w:rFonts w:eastAsia="Times New Roman" w:cstheme="minorHAnsi"/>
          <w:color w:val="000000"/>
        </w:rPr>
        <w:t>uidelines concerning how long students needed to be out of school due to COVID</w:t>
      </w:r>
      <w:r w:rsidR="006526C5">
        <w:rPr>
          <w:rFonts w:eastAsia="Times New Roman" w:cstheme="minorHAnsi"/>
          <w:color w:val="000000"/>
        </w:rPr>
        <w:t>-19</w:t>
      </w:r>
      <w:r w:rsidRPr="00FC0736">
        <w:rPr>
          <w:rFonts w:eastAsia="Times New Roman" w:cstheme="minorHAnsi"/>
          <w:color w:val="000000"/>
        </w:rPr>
        <w:t xml:space="preserve"> changed and students were allowed to come back sooner. In addition, more students were vaccinated which allowed them to stay in school if they had no symptoms and were not in close contact with someone who had COVID</w:t>
      </w:r>
      <w:r w:rsidR="006526C5">
        <w:rPr>
          <w:rFonts w:eastAsia="Times New Roman" w:cstheme="minorHAnsi"/>
          <w:color w:val="000000"/>
        </w:rPr>
        <w:t>-19</w:t>
      </w:r>
      <w:r w:rsidRPr="00FC0736">
        <w:rPr>
          <w:rFonts w:eastAsia="Times New Roman" w:cstheme="minorHAnsi"/>
          <w:color w:val="000000"/>
        </w:rPr>
        <w:t>.</w:t>
      </w:r>
    </w:p>
    <w:p w14:paraId="3F6A776D" w14:textId="77777777" w:rsidR="008669C1" w:rsidRPr="0099110B" w:rsidRDefault="008669C1"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New Jersey</w:t>
      </w:r>
    </w:p>
    <w:p w14:paraId="4D0FC74B" w14:textId="59858F92" w:rsidR="00977DCC" w:rsidRDefault="00977DCC" w:rsidP="00977DCC">
      <w:pPr>
        <w:spacing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sidRPr="00977DCC">
        <w:rPr>
          <w:rFonts w:eastAsia="Times New Roman" w:cstheme="minorHAnsi"/>
          <w:color w:val="000000"/>
        </w:rPr>
        <w:t xml:space="preserve">Some students taking an alternate assessment cannot be accounted at a LEA or </w:t>
      </w:r>
      <w:r w:rsidR="00384EAB">
        <w:rPr>
          <w:rFonts w:eastAsia="Times New Roman" w:cstheme="minorHAnsi"/>
          <w:color w:val="000000"/>
        </w:rPr>
        <w:t>school (</w:t>
      </w:r>
      <w:r w:rsidRPr="00977DCC">
        <w:rPr>
          <w:rFonts w:eastAsia="Times New Roman" w:cstheme="minorHAnsi"/>
          <w:color w:val="000000"/>
        </w:rPr>
        <w:t>SCH</w:t>
      </w:r>
      <w:r w:rsidR="00384EAB">
        <w:rPr>
          <w:rFonts w:eastAsia="Times New Roman" w:cstheme="minorHAnsi"/>
          <w:color w:val="000000"/>
        </w:rPr>
        <w:t>)</w:t>
      </w:r>
      <w:r w:rsidRPr="00977DCC">
        <w:rPr>
          <w:rFonts w:eastAsia="Times New Roman" w:cstheme="minorHAnsi"/>
          <w:color w:val="000000"/>
        </w:rPr>
        <w:t xml:space="preserve"> level as they did not report the sending LEA when tested. These records are reported at </w:t>
      </w:r>
      <w:r w:rsidR="00384EAB">
        <w:rPr>
          <w:rFonts w:eastAsia="Times New Roman" w:cstheme="minorHAnsi"/>
          <w:color w:val="000000"/>
        </w:rPr>
        <w:t>the</w:t>
      </w:r>
      <w:r w:rsidRPr="00977DCC">
        <w:rPr>
          <w:rFonts w:eastAsia="Times New Roman" w:cstheme="minorHAnsi"/>
          <w:color w:val="000000"/>
        </w:rPr>
        <w:t xml:space="preserve"> SEA level only</w:t>
      </w:r>
      <w:r w:rsidRPr="0099110B">
        <w:rPr>
          <w:rFonts w:eastAsia="Times New Roman" w:cstheme="minorHAnsi"/>
          <w:color w:val="000000"/>
        </w:rPr>
        <w:t>.</w:t>
      </w:r>
    </w:p>
    <w:p w14:paraId="05D46D14" w14:textId="24B1A410" w:rsidR="00A01441" w:rsidRDefault="0098209C" w:rsidP="00FF05BC">
      <w:pPr>
        <w:spacing w:after="0" w:line="240" w:lineRule="auto"/>
        <w:rPr>
          <w:rFonts w:eastAsiaTheme="minorEastAsia" w:cstheme="minorHAnsi"/>
        </w:rPr>
      </w:pPr>
      <w:r w:rsidRPr="0099110B">
        <w:rPr>
          <w:rFonts w:eastAsiaTheme="minorEastAsia" w:cstheme="minorHAnsi"/>
        </w:rPr>
        <w:t>-</w:t>
      </w:r>
      <w:r w:rsidR="00CA4A4B" w:rsidRPr="00CA4A4B">
        <w:rPr>
          <w:rFonts w:eastAsia="Times New Roman"/>
        </w:rPr>
        <w:t xml:space="preserve"> </w:t>
      </w:r>
      <w:r w:rsidR="00CA4A4B" w:rsidRPr="006E0360">
        <w:rPr>
          <w:rFonts w:eastAsia="Times New Roman"/>
        </w:rPr>
        <w:t>The State provided the following response(s) to large Year to Year change(s)</w:t>
      </w:r>
      <w:r w:rsidRPr="0099110B">
        <w:rPr>
          <w:rFonts w:eastAsiaTheme="minorEastAsia" w:cstheme="minorHAnsi"/>
        </w:rPr>
        <w:t>:</w:t>
      </w:r>
    </w:p>
    <w:p w14:paraId="627DCB19" w14:textId="55B5AD20" w:rsidR="00EE416D" w:rsidRPr="0017471F" w:rsidRDefault="00977DCC" w:rsidP="0017471F">
      <w:pPr>
        <w:pStyle w:val="ListParagraph"/>
        <w:numPr>
          <w:ilvl w:val="0"/>
          <w:numId w:val="19"/>
        </w:numPr>
        <w:spacing w:after="0" w:line="240" w:lineRule="auto"/>
        <w:rPr>
          <w:rFonts w:eastAsia="Times New Roman" w:cstheme="minorHAnsi"/>
          <w:color w:val="000000"/>
        </w:rPr>
      </w:pPr>
      <w:r w:rsidRPr="00977DCC">
        <w:rPr>
          <w:rFonts w:eastAsia="Times New Roman" w:cstheme="minorHAnsi"/>
          <w:color w:val="000000"/>
        </w:rPr>
        <w:t xml:space="preserve">The Start Strong assessments in </w:t>
      </w:r>
      <w:r w:rsidR="00384EAB">
        <w:rPr>
          <w:rFonts w:eastAsia="Times New Roman" w:cstheme="minorHAnsi"/>
          <w:color w:val="000000"/>
        </w:rPr>
        <w:t>E</w:t>
      </w:r>
      <w:r w:rsidRPr="00977DCC">
        <w:rPr>
          <w:rFonts w:eastAsia="Times New Roman" w:cstheme="minorHAnsi"/>
          <w:color w:val="000000"/>
        </w:rPr>
        <w:t xml:space="preserve">nglish </w:t>
      </w:r>
      <w:r w:rsidR="00384EAB">
        <w:rPr>
          <w:rFonts w:eastAsia="Times New Roman" w:cstheme="minorHAnsi"/>
          <w:color w:val="000000"/>
        </w:rPr>
        <w:t>l</w:t>
      </w:r>
      <w:r w:rsidRPr="00977DCC">
        <w:rPr>
          <w:rFonts w:eastAsia="Times New Roman" w:cstheme="minorHAnsi"/>
          <w:color w:val="000000"/>
        </w:rPr>
        <w:t xml:space="preserve">anguage </w:t>
      </w:r>
      <w:r w:rsidR="00384EAB">
        <w:rPr>
          <w:rFonts w:eastAsia="Times New Roman" w:cstheme="minorHAnsi"/>
          <w:color w:val="000000"/>
        </w:rPr>
        <w:t>a</w:t>
      </w:r>
      <w:r w:rsidRPr="00977DCC">
        <w:rPr>
          <w:rFonts w:eastAsia="Times New Roman" w:cstheme="minorHAnsi"/>
          <w:color w:val="000000"/>
        </w:rPr>
        <w:t xml:space="preserve">rts, </w:t>
      </w:r>
      <w:r w:rsidR="00384EAB">
        <w:rPr>
          <w:rFonts w:eastAsia="Times New Roman" w:cstheme="minorHAnsi"/>
          <w:color w:val="000000"/>
        </w:rPr>
        <w:t>m</w:t>
      </w:r>
      <w:r w:rsidRPr="00977DCC">
        <w:rPr>
          <w:rFonts w:eastAsia="Times New Roman" w:cstheme="minorHAnsi"/>
          <w:color w:val="000000"/>
        </w:rPr>
        <w:t xml:space="preserve">ath, and </w:t>
      </w:r>
      <w:r w:rsidR="00384EAB">
        <w:rPr>
          <w:rFonts w:eastAsia="Times New Roman" w:cstheme="minorHAnsi"/>
          <w:color w:val="000000"/>
        </w:rPr>
        <w:t>s</w:t>
      </w:r>
      <w:r w:rsidRPr="00977DCC">
        <w:rPr>
          <w:rFonts w:eastAsia="Times New Roman" w:cstheme="minorHAnsi"/>
          <w:color w:val="000000"/>
        </w:rPr>
        <w:t xml:space="preserve">cience were administered in fall 2021 to meet federal assessment administration requirements. The data submitted was aligned to reporting requirements for </w:t>
      </w:r>
      <w:r w:rsidR="00384EAB">
        <w:rPr>
          <w:rFonts w:eastAsia="Times New Roman" w:cstheme="minorHAnsi"/>
          <w:color w:val="000000"/>
        </w:rPr>
        <w:t xml:space="preserve">SY </w:t>
      </w:r>
      <w:r w:rsidRPr="00977DCC">
        <w:rPr>
          <w:rFonts w:eastAsia="Times New Roman" w:cstheme="minorHAnsi"/>
          <w:color w:val="000000"/>
        </w:rPr>
        <w:t xml:space="preserve">2020-21, so data only included students that were enrolled during </w:t>
      </w:r>
      <w:r w:rsidR="00384EAB">
        <w:rPr>
          <w:rFonts w:eastAsia="Times New Roman" w:cstheme="minorHAnsi"/>
          <w:color w:val="000000"/>
        </w:rPr>
        <w:t>SY</w:t>
      </w:r>
      <w:r w:rsidRPr="00977DCC">
        <w:rPr>
          <w:rFonts w:eastAsia="Times New Roman" w:cstheme="minorHAnsi"/>
          <w:color w:val="000000"/>
        </w:rPr>
        <w:t xml:space="preserve"> 2020-21</w:t>
      </w:r>
      <w:r w:rsidR="00384EAB">
        <w:rPr>
          <w:rFonts w:eastAsia="Times New Roman" w:cstheme="minorHAnsi"/>
          <w:color w:val="000000"/>
        </w:rPr>
        <w:t xml:space="preserve"> </w:t>
      </w:r>
      <w:r w:rsidRPr="00977DCC">
        <w:rPr>
          <w:rFonts w:eastAsia="Times New Roman" w:cstheme="minorHAnsi"/>
          <w:color w:val="000000"/>
        </w:rPr>
        <w:t>and the school/district, grade level, and student group status in the data represent the student’s enrollment as of June 2021, not as of fall 2021.</w:t>
      </w:r>
    </w:p>
    <w:p w14:paraId="5DE26CC0" w14:textId="62AFDC48" w:rsidR="00977DCC" w:rsidRPr="00FF48A7" w:rsidRDefault="00977DCC" w:rsidP="0017471F">
      <w:pPr>
        <w:pStyle w:val="ListParagraph"/>
        <w:numPr>
          <w:ilvl w:val="0"/>
          <w:numId w:val="19"/>
        </w:numPr>
        <w:spacing w:line="240" w:lineRule="auto"/>
        <w:rPr>
          <w:rFonts w:eastAsiaTheme="minorEastAsia" w:cstheme="minorHAnsi"/>
        </w:rPr>
      </w:pPr>
      <w:r w:rsidRPr="0017471F">
        <w:rPr>
          <w:rFonts w:eastAsia="Times New Roman" w:cstheme="minorHAnsi"/>
          <w:color w:val="000000"/>
        </w:rPr>
        <w:t>The alternate assessment</w:t>
      </w:r>
      <w:r w:rsidR="00D836AB">
        <w:rPr>
          <w:rFonts w:eastAsia="Times New Roman" w:cstheme="minorHAnsi"/>
          <w:color w:val="000000"/>
        </w:rPr>
        <w:t>,</w:t>
      </w:r>
      <w:r w:rsidRPr="0017471F">
        <w:rPr>
          <w:rFonts w:eastAsia="Times New Roman" w:cstheme="minorHAnsi"/>
          <w:color w:val="000000"/>
        </w:rPr>
        <w:t xml:space="preserve"> </w:t>
      </w:r>
      <w:r w:rsidR="00D836AB">
        <w:rPr>
          <w:rFonts w:eastAsia="Times New Roman" w:cstheme="minorHAnsi"/>
          <w:color w:val="000000"/>
        </w:rPr>
        <w:t xml:space="preserve">Dynamic Learning Maps </w:t>
      </w:r>
      <w:r w:rsidRPr="0017471F">
        <w:rPr>
          <w:rFonts w:eastAsia="Times New Roman" w:cstheme="minorHAnsi"/>
          <w:color w:val="000000"/>
        </w:rPr>
        <w:t>(DLM)</w:t>
      </w:r>
      <w:r w:rsidR="00D836AB">
        <w:rPr>
          <w:rFonts w:eastAsia="Times New Roman" w:cstheme="minorHAnsi"/>
          <w:color w:val="000000"/>
        </w:rPr>
        <w:t>,</w:t>
      </w:r>
      <w:r w:rsidRPr="0017471F">
        <w:rPr>
          <w:rFonts w:eastAsia="Times New Roman" w:cstheme="minorHAnsi"/>
          <w:color w:val="000000"/>
        </w:rPr>
        <w:t xml:space="preserve"> </w:t>
      </w:r>
      <w:r w:rsidR="008C6A92">
        <w:rPr>
          <w:rFonts w:eastAsia="Times New Roman" w:cstheme="minorHAnsi"/>
          <w:color w:val="000000"/>
        </w:rPr>
        <w:t>is</w:t>
      </w:r>
      <w:r w:rsidRPr="0017471F">
        <w:rPr>
          <w:rFonts w:eastAsia="Times New Roman" w:cstheme="minorHAnsi"/>
          <w:color w:val="000000"/>
        </w:rPr>
        <w:t xml:space="preserve"> required to be administered in-person only, with no remote administration option, as the supports required to administer this assessment to its specific population of students must be completed in person. Due to COVID-19 restrictions, the participation rate for DLM in SY</w:t>
      </w:r>
      <w:r w:rsidR="008C6A92">
        <w:rPr>
          <w:rFonts w:eastAsia="Times New Roman" w:cstheme="minorHAnsi"/>
          <w:color w:val="000000"/>
        </w:rPr>
        <w:t xml:space="preserve"> </w:t>
      </w:r>
      <w:r w:rsidRPr="0017471F">
        <w:rPr>
          <w:rFonts w:eastAsia="Times New Roman" w:cstheme="minorHAnsi"/>
          <w:color w:val="000000"/>
        </w:rPr>
        <w:t>2020-21 was lower than the one in SY</w:t>
      </w:r>
      <w:r w:rsidR="00061C8E">
        <w:rPr>
          <w:rFonts w:eastAsia="Times New Roman" w:cstheme="minorHAnsi"/>
          <w:color w:val="000000"/>
        </w:rPr>
        <w:t xml:space="preserve"> </w:t>
      </w:r>
      <w:r w:rsidRPr="0017471F">
        <w:rPr>
          <w:rFonts w:eastAsia="Times New Roman" w:cstheme="minorHAnsi"/>
          <w:color w:val="000000"/>
        </w:rPr>
        <w:t>2021-22</w:t>
      </w:r>
      <w:r w:rsidR="00D05FFF" w:rsidRPr="0017471F">
        <w:rPr>
          <w:rFonts w:eastAsia="Times New Roman" w:cstheme="minorHAnsi"/>
          <w:color w:val="000000"/>
        </w:rPr>
        <w:t>.</w:t>
      </w:r>
    </w:p>
    <w:p w14:paraId="4263D32F" w14:textId="2FC3E237" w:rsidR="00977DCC" w:rsidRPr="0099110B" w:rsidRDefault="00977DCC" w:rsidP="00EE416D">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New </w:t>
      </w:r>
      <w:r>
        <w:rPr>
          <w:rFonts w:eastAsia="Times New Roman" w:cstheme="minorHAnsi"/>
          <w:b/>
          <w:bCs/>
          <w:color w:val="000000" w:themeColor="text1"/>
        </w:rPr>
        <w:t>York</w:t>
      </w:r>
    </w:p>
    <w:p w14:paraId="22C5E013" w14:textId="0B7CADBB" w:rsidR="00977DCC" w:rsidRDefault="00977DCC" w:rsidP="00EE416D">
      <w:pPr>
        <w:spacing w:after="0" w:line="240" w:lineRule="auto"/>
        <w:rPr>
          <w:rFonts w:eastAsiaTheme="minorEastAsia" w:cstheme="minorHAnsi"/>
        </w:rPr>
      </w:pPr>
      <w:r w:rsidRPr="0099110B">
        <w:rPr>
          <w:rFonts w:eastAsiaTheme="minorEastAsia" w:cstheme="minorHAnsi"/>
        </w:rPr>
        <w:t>-</w:t>
      </w:r>
      <w:r w:rsidRPr="00CA4A4B">
        <w:rPr>
          <w:rFonts w:eastAsia="Times New Roman"/>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4BEF649D" w14:textId="4C65C10C" w:rsidR="00977DCC" w:rsidRDefault="00C7395A" w:rsidP="00C7395A">
      <w:pPr>
        <w:pStyle w:val="ListParagraph"/>
        <w:numPr>
          <w:ilvl w:val="0"/>
          <w:numId w:val="19"/>
        </w:numPr>
        <w:spacing w:line="240" w:lineRule="auto"/>
        <w:rPr>
          <w:rFonts w:eastAsiaTheme="minorEastAsia" w:cstheme="minorHAnsi"/>
        </w:rPr>
      </w:pPr>
      <w:r w:rsidRPr="00C7395A">
        <w:rPr>
          <w:rFonts w:eastAsia="Times New Roman" w:cstheme="minorHAnsi"/>
          <w:color w:val="000000"/>
        </w:rPr>
        <w:t xml:space="preserve">Due to COVID-19, assessments were not administered to all students in </w:t>
      </w:r>
      <w:r w:rsidR="00061C8E">
        <w:rPr>
          <w:rFonts w:eastAsia="Times New Roman" w:cstheme="minorHAnsi"/>
          <w:color w:val="000000"/>
        </w:rPr>
        <w:t xml:space="preserve">SY </w:t>
      </w:r>
      <w:r w:rsidRPr="00C7395A">
        <w:rPr>
          <w:rFonts w:eastAsia="Times New Roman" w:cstheme="minorHAnsi"/>
          <w:color w:val="000000"/>
        </w:rPr>
        <w:t>2020-21. Students receiving entirely remote instruction were not required to be tested. This created a large increase in counts and participation rates between last year and this year.</w:t>
      </w:r>
    </w:p>
    <w:p w14:paraId="56E97FE3" w14:textId="3AC28E8C" w:rsidR="00977DCC" w:rsidRPr="0099110B" w:rsidRDefault="00977DCC" w:rsidP="00977DCC">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North Carolina</w:t>
      </w:r>
    </w:p>
    <w:p w14:paraId="56DC0A72" w14:textId="4A6E31D4" w:rsidR="00977DCC" w:rsidRDefault="00977DCC" w:rsidP="00977DCC">
      <w:pPr>
        <w:spacing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sidR="00C7395A" w:rsidRPr="00C7395A">
        <w:rPr>
          <w:rFonts w:eastAsia="Times New Roman" w:cstheme="minorHAnsi"/>
          <w:color w:val="000000"/>
        </w:rPr>
        <w:t>Math assessments given in Grade 10 are banked for reporting in Grade 11</w:t>
      </w:r>
      <w:r w:rsidRPr="0099110B">
        <w:rPr>
          <w:rFonts w:eastAsia="Times New Roman" w:cstheme="minorHAnsi"/>
          <w:color w:val="000000"/>
        </w:rPr>
        <w:t>.</w:t>
      </w:r>
    </w:p>
    <w:p w14:paraId="52898F3B" w14:textId="49218C6A" w:rsidR="00977DCC" w:rsidRDefault="00977DCC" w:rsidP="00977DCC">
      <w:pPr>
        <w:spacing w:after="0" w:line="240" w:lineRule="auto"/>
        <w:rPr>
          <w:rFonts w:eastAsiaTheme="minorEastAsia" w:cstheme="minorHAnsi"/>
        </w:rPr>
      </w:pPr>
      <w:r w:rsidRPr="0099110B">
        <w:rPr>
          <w:rFonts w:eastAsiaTheme="minorEastAsia" w:cstheme="minorHAnsi"/>
        </w:rPr>
        <w:t>-</w:t>
      </w:r>
      <w:r w:rsidRPr="00CA4A4B">
        <w:rPr>
          <w:rFonts w:eastAsia="Times New Roman"/>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1B310399" w14:textId="1D196786" w:rsidR="00977DCC" w:rsidRPr="00AA43B0" w:rsidRDefault="00C7395A" w:rsidP="00AA43B0">
      <w:pPr>
        <w:pStyle w:val="ListParagraph"/>
        <w:numPr>
          <w:ilvl w:val="0"/>
          <w:numId w:val="19"/>
        </w:numPr>
        <w:spacing w:line="240" w:lineRule="auto"/>
        <w:rPr>
          <w:rFonts w:eastAsia="Times New Roman" w:cstheme="minorHAnsi"/>
          <w:color w:val="000000"/>
        </w:rPr>
      </w:pPr>
      <w:r w:rsidRPr="00C7395A">
        <w:rPr>
          <w:rFonts w:eastAsia="Times New Roman" w:cstheme="minorHAnsi"/>
          <w:color w:val="000000"/>
        </w:rPr>
        <w:t xml:space="preserve">The reduction in students participating in </w:t>
      </w:r>
      <w:r w:rsidR="00B14E70">
        <w:rPr>
          <w:rFonts w:eastAsia="Times New Roman" w:cstheme="minorHAnsi"/>
          <w:color w:val="000000"/>
        </w:rPr>
        <w:t xml:space="preserve">SY </w:t>
      </w:r>
      <w:r w:rsidRPr="00C7395A">
        <w:rPr>
          <w:rFonts w:eastAsia="Times New Roman" w:cstheme="minorHAnsi"/>
          <w:color w:val="000000"/>
        </w:rPr>
        <w:t>2021</w:t>
      </w:r>
      <w:r w:rsidR="00B14E70">
        <w:rPr>
          <w:rFonts w:eastAsia="Times New Roman" w:cstheme="minorHAnsi"/>
          <w:color w:val="000000"/>
        </w:rPr>
        <w:t>-22</w:t>
      </w:r>
      <w:r w:rsidRPr="00C7395A">
        <w:rPr>
          <w:rFonts w:eastAsia="Times New Roman" w:cstheme="minorHAnsi"/>
          <w:color w:val="000000"/>
        </w:rPr>
        <w:t xml:space="preserve"> is due to lack of testing in </w:t>
      </w:r>
      <w:r w:rsidR="00B14E70">
        <w:rPr>
          <w:rFonts w:eastAsia="Times New Roman" w:cstheme="minorHAnsi"/>
          <w:color w:val="000000"/>
        </w:rPr>
        <w:t xml:space="preserve">SY </w:t>
      </w:r>
      <w:r w:rsidRPr="00C7395A">
        <w:rPr>
          <w:rFonts w:eastAsia="Times New Roman" w:cstheme="minorHAnsi"/>
          <w:color w:val="000000"/>
        </w:rPr>
        <w:t>2019-20 due to COVID</w:t>
      </w:r>
      <w:r w:rsidR="00B14E70">
        <w:rPr>
          <w:rFonts w:eastAsia="Times New Roman" w:cstheme="minorHAnsi"/>
          <w:color w:val="000000"/>
        </w:rPr>
        <w:t>-19</w:t>
      </w:r>
      <w:r w:rsidRPr="00C7395A">
        <w:rPr>
          <w:rFonts w:eastAsia="Times New Roman" w:cstheme="minorHAnsi"/>
          <w:color w:val="000000"/>
        </w:rPr>
        <w:t xml:space="preserve">. Many students who did not test in </w:t>
      </w:r>
      <w:r w:rsidR="00B14E70">
        <w:rPr>
          <w:rFonts w:eastAsia="Times New Roman" w:cstheme="minorHAnsi"/>
          <w:color w:val="000000"/>
        </w:rPr>
        <w:t xml:space="preserve">SY </w:t>
      </w:r>
      <w:r w:rsidRPr="00C7395A">
        <w:rPr>
          <w:rFonts w:eastAsia="Times New Roman" w:cstheme="minorHAnsi"/>
          <w:color w:val="000000"/>
        </w:rPr>
        <w:t xml:space="preserve">2019-20 were in 11th grade in </w:t>
      </w:r>
      <w:r w:rsidR="00B14E70">
        <w:rPr>
          <w:rFonts w:eastAsia="Times New Roman" w:cstheme="minorHAnsi"/>
          <w:color w:val="000000"/>
        </w:rPr>
        <w:t xml:space="preserve">SY </w:t>
      </w:r>
      <w:r w:rsidRPr="00C7395A">
        <w:rPr>
          <w:rFonts w:eastAsia="Times New Roman" w:cstheme="minorHAnsi"/>
          <w:color w:val="000000"/>
        </w:rPr>
        <w:t xml:space="preserve">2021-22 and do not have a test on record. North Carolina uses a cohort-based system in order to bank test scores from prior years depending on the student. For students who would have taken their 10th grade math assessment in </w:t>
      </w:r>
      <w:r w:rsidR="00B14E70">
        <w:rPr>
          <w:rFonts w:eastAsia="Times New Roman" w:cstheme="minorHAnsi"/>
          <w:color w:val="000000"/>
        </w:rPr>
        <w:t xml:space="preserve">SY </w:t>
      </w:r>
      <w:r w:rsidRPr="00C7395A">
        <w:rPr>
          <w:rFonts w:eastAsia="Times New Roman" w:cstheme="minorHAnsi"/>
          <w:color w:val="000000"/>
        </w:rPr>
        <w:t>2019-20 but opted out due to the waiver, we did not have a score for them in 11th grade, resulting in the slippage.</w:t>
      </w:r>
    </w:p>
    <w:p w14:paraId="6400BD1A" w14:textId="77777777" w:rsidR="002B6690" w:rsidRPr="0099110B" w:rsidRDefault="002B6690"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North Dakota</w:t>
      </w:r>
    </w:p>
    <w:p w14:paraId="6A4DC485" w14:textId="4FCD2E11" w:rsidR="00312D64" w:rsidRPr="0099110B" w:rsidRDefault="00312D64" w:rsidP="00FF05BC">
      <w:pPr>
        <w:spacing w:after="0" w:line="240" w:lineRule="auto"/>
        <w:rPr>
          <w:rFonts w:eastAsiaTheme="minorEastAsia" w:cstheme="minorHAnsi"/>
        </w:rPr>
      </w:pPr>
      <w:r w:rsidRPr="0099110B">
        <w:rPr>
          <w:rFonts w:eastAsiaTheme="minorEastAsia" w:cstheme="minorHAnsi"/>
        </w:rPr>
        <w:t>-</w:t>
      </w:r>
      <w:r w:rsidR="0012511B">
        <w:rPr>
          <w:rFonts w:eastAsiaTheme="minorEastAsia" w:cstheme="minorHAnsi"/>
        </w:rPr>
        <w:t xml:space="preserve"> </w:t>
      </w:r>
      <w:r w:rsidR="00CA4A4B" w:rsidRPr="006E0360">
        <w:rPr>
          <w:rFonts w:eastAsia="Times New Roman"/>
        </w:rPr>
        <w:t>The State provided the following response(s) to large Year to Year change(s</w:t>
      </w:r>
      <w:r w:rsidR="00CF3D64">
        <w:rPr>
          <w:rFonts w:eastAsia="Times New Roman"/>
        </w:rPr>
        <w:t>)</w:t>
      </w:r>
      <w:r w:rsidR="00AA43B0">
        <w:rPr>
          <w:rFonts w:eastAsia="Times New Roman"/>
        </w:rPr>
        <w:t>:</w:t>
      </w:r>
    </w:p>
    <w:p w14:paraId="17B24379" w14:textId="52CBBCAF" w:rsidR="00AA43B0" w:rsidRDefault="00AA43B0" w:rsidP="00080520">
      <w:pPr>
        <w:pStyle w:val="ListParagraph"/>
        <w:numPr>
          <w:ilvl w:val="0"/>
          <w:numId w:val="7"/>
        </w:numPr>
        <w:spacing w:line="240" w:lineRule="auto"/>
        <w:rPr>
          <w:rFonts w:eastAsiaTheme="minorEastAsia" w:cstheme="minorHAnsi"/>
        </w:rPr>
      </w:pPr>
      <w:r w:rsidRPr="00AA43B0">
        <w:rPr>
          <w:rFonts w:eastAsia="Times New Roman" w:cstheme="minorHAnsi"/>
          <w:color w:val="000000"/>
        </w:rPr>
        <w:t>The</w:t>
      </w:r>
      <w:r w:rsidR="00141589">
        <w:rPr>
          <w:rFonts w:eastAsia="Times New Roman" w:cstheme="minorHAnsi"/>
          <w:color w:val="000000"/>
        </w:rPr>
        <w:t xml:space="preserve"> </w:t>
      </w:r>
      <w:r w:rsidR="00370E69">
        <w:rPr>
          <w:rFonts w:eastAsia="Times New Roman" w:cstheme="minorHAnsi"/>
          <w:color w:val="000000"/>
        </w:rPr>
        <w:t>year-to-year</w:t>
      </w:r>
      <w:r w:rsidR="00141589">
        <w:rPr>
          <w:rFonts w:eastAsia="Times New Roman" w:cstheme="minorHAnsi"/>
          <w:color w:val="000000"/>
        </w:rPr>
        <w:t xml:space="preserve"> </w:t>
      </w:r>
      <w:r w:rsidRPr="00AA43B0">
        <w:rPr>
          <w:rFonts w:eastAsia="Times New Roman" w:cstheme="minorHAnsi"/>
          <w:color w:val="000000"/>
        </w:rPr>
        <w:t>difference shows an increase in grade 4 of the alternate assessment. After review of the data, the state believes that enrollment numbers are returning to the pre-pandemic enrollment. Virtual learning and medically fragile students may be feeling more comfortable to return to in</w:t>
      </w:r>
      <w:r w:rsidR="001133F6">
        <w:rPr>
          <w:rFonts w:eastAsia="Times New Roman" w:cstheme="minorHAnsi"/>
          <w:color w:val="000000"/>
        </w:rPr>
        <w:t>-</w:t>
      </w:r>
      <w:r w:rsidRPr="00AA43B0">
        <w:rPr>
          <w:rFonts w:eastAsia="Times New Roman" w:cstheme="minorHAnsi"/>
          <w:color w:val="000000"/>
        </w:rPr>
        <w:t>person learning. The state saw an increase in participation and achievement in both the alternate and regular assessments.</w:t>
      </w:r>
    </w:p>
    <w:p w14:paraId="145ED81B" w14:textId="6A797583" w:rsidR="000347EF" w:rsidRDefault="00AA43B0" w:rsidP="0081444E">
      <w:pPr>
        <w:pStyle w:val="ListParagraph"/>
        <w:numPr>
          <w:ilvl w:val="0"/>
          <w:numId w:val="7"/>
        </w:numPr>
        <w:spacing w:line="240" w:lineRule="auto"/>
        <w:rPr>
          <w:rFonts w:eastAsia="Times New Roman" w:cstheme="minorHAnsi"/>
          <w:color w:val="000000"/>
        </w:rPr>
      </w:pPr>
      <w:r w:rsidRPr="00AA43B0">
        <w:rPr>
          <w:rFonts w:eastAsia="Times New Roman" w:cstheme="minorHAnsi"/>
          <w:color w:val="000000"/>
        </w:rPr>
        <w:t>The Y2Y difference shows an increase in grade</w:t>
      </w:r>
      <w:r w:rsidR="001517C0">
        <w:rPr>
          <w:rFonts w:eastAsia="Times New Roman" w:cstheme="minorHAnsi"/>
          <w:color w:val="000000"/>
        </w:rPr>
        <w:t>s</w:t>
      </w:r>
      <w:r w:rsidRPr="00AA43B0">
        <w:rPr>
          <w:rFonts w:eastAsia="Times New Roman" w:cstheme="minorHAnsi"/>
          <w:color w:val="000000"/>
        </w:rPr>
        <w:t xml:space="preserve"> 3 and 4</w:t>
      </w:r>
      <w:r w:rsidR="000347EF">
        <w:rPr>
          <w:rFonts w:eastAsia="Times New Roman" w:cstheme="minorHAnsi"/>
          <w:color w:val="000000"/>
        </w:rPr>
        <w:t xml:space="preserve"> of the alternate assessment and regular assessment without accommodation in achievement and participation</w:t>
      </w:r>
      <w:r w:rsidRPr="00AA43B0">
        <w:rPr>
          <w:rFonts w:eastAsia="Times New Roman" w:cstheme="minorHAnsi"/>
          <w:color w:val="000000"/>
        </w:rPr>
        <w:t xml:space="preserve">. The decrease in grade 6 is suspected to be an error in the </w:t>
      </w:r>
      <w:r w:rsidR="000347EF">
        <w:rPr>
          <w:rFonts w:eastAsia="Times New Roman" w:cstheme="minorHAnsi"/>
          <w:color w:val="000000"/>
        </w:rPr>
        <w:t>SY</w:t>
      </w:r>
      <w:r w:rsidRPr="00AA43B0">
        <w:rPr>
          <w:rFonts w:eastAsia="Times New Roman" w:cstheme="minorHAnsi"/>
          <w:color w:val="000000"/>
        </w:rPr>
        <w:t>2020-21 data. It seems that the number has been doubled.</w:t>
      </w:r>
    </w:p>
    <w:p w14:paraId="0229C68A" w14:textId="43197B1E" w:rsidR="00AA43B0" w:rsidRPr="00080520" w:rsidRDefault="00AA43B0" w:rsidP="00080520">
      <w:pPr>
        <w:pStyle w:val="ListParagraph"/>
        <w:numPr>
          <w:ilvl w:val="0"/>
          <w:numId w:val="7"/>
        </w:numPr>
        <w:tabs>
          <w:tab w:val="left" w:pos="810"/>
        </w:tabs>
        <w:spacing w:line="240" w:lineRule="auto"/>
        <w:rPr>
          <w:rFonts w:eastAsia="Times New Roman" w:cstheme="minorHAnsi"/>
          <w:color w:val="000000"/>
        </w:rPr>
      </w:pPr>
      <w:r w:rsidRPr="00AA43B0">
        <w:rPr>
          <w:rFonts w:eastAsia="Times New Roman" w:cstheme="minorHAnsi"/>
          <w:color w:val="000000"/>
        </w:rPr>
        <w:t>After review of the data that increased, the state believes that enrollment numbers are returning to the pre-pandemic enrollment. Virtual learning and medically fragile students may be feeling more comfortable to return to in person learning. The state saw an increase in participation and achievement in both the alternate and regular assessments.</w:t>
      </w:r>
    </w:p>
    <w:p w14:paraId="2BBB728D" w14:textId="2ADBBA65" w:rsidR="00006AF2" w:rsidRPr="0099110B" w:rsidRDefault="00006AF2" w:rsidP="00006AF2">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Northern Marianas</w:t>
      </w:r>
    </w:p>
    <w:p w14:paraId="480E7359" w14:textId="455EB3B2" w:rsidR="00006AF2" w:rsidRDefault="00006AF2" w:rsidP="00A76244">
      <w:pPr>
        <w:spacing w:after="0" w:line="240" w:lineRule="auto"/>
        <w:rPr>
          <w:rFonts w:eastAsiaTheme="minorEastAsia" w:cstheme="minorHAnsi"/>
        </w:rPr>
      </w:pPr>
      <w:r w:rsidRPr="0099110B">
        <w:rPr>
          <w:rFonts w:eastAsiaTheme="minorEastAsia" w:cstheme="minorHAnsi"/>
        </w:rPr>
        <w:t>-</w:t>
      </w:r>
      <w:r w:rsidRPr="00CA4A4B">
        <w:rPr>
          <w:rFonts w:eastAsia="Times New Roman"/>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2EA892F1" w14:textId="70B24D76" w:rsidR="00AA43B0" w:rsidRPr="00EE416D" w:rsidRDefault="00006AF2" w:rsidP="00A76244">
      <w:pPr>
        <w:pStyle w:val="ListParagraph"/>
        <w:numPr>
          <w:ilvl w:val="0"/>
          <w:numId w:val="19"/>
        </w:numPr>
        <w:spacing w:after="0" w:line="240" w:lineRule="auto"/>
        <w:rPr>
          <w:rFonts w:eastAsia="Times New Roman" w:cstheme="minorHAnsi"/>
          <w:color w:val="000000"/>
        </w:rPr>
      </w:pPr>
      <w:r w:rsidRPr="00006AF2">
        <w:rPr>
          <w:rFonts w:eastAsia="Times New Roman" w:cstheme="minorHAnsi"/>
          <w:color w:val="000000"/>
        </w:rPr>
        <w:t xml:space="preserve">The increase in student performance and participation in both </w:t>
      </w:r>
      <w:r w:rsidR="00786171">
        <w:rPr>
          <w:rFonts w:eastAsia="Times New Roman" w:cstheme="minorHAnsi"/>
          <w:color w:val="000000"/>
        </w:rPr>
        <w:t>r</w:t>
      </w:r>
      <w:r w:rsidRPr="00006AF2">
        <w:rPr>
          <w:rFonts w:eastAsia="Times New Roman" w:cstheme="minorHAnsi"/>
          <w:color w:val="000000"/>
        </w:rPr>
        <w:t xml:space="preserve">eading and </w:t>
      </w:r>
      <w:r w:rsidR="00786171">
        <w:rPr>
          <w:rFonts w:eastAsia="Times New Roman" w:cstheme="minorHAnsi"/>
          <w:color w:val="000000"/>
        </w:rPr>
        <w:t>m</w:t>
      </w:r>
      <w:r w:rsidRPr="00006AF2">
        <w:rPr>
          <w:rFonts w:eastAsia="Times New Roman" w:cstheme="minorHAnsi"/>
          <w:color w:val="000000"/>
        </w:rPr>
        <w:t>ath assessment</w:t>
      </w:r>
      <w:r w:rsidR="00786171">
        <w:rPr>
          <w:rFonts w:eastAsia="Times New Roman" w:cstheme="minorHAnsi"/>
          <w:color w:val="000000"/>
        </w:rPr>
        <w:t>s</w:t>
      </w:r>
      <w:r w:rsidRPr="00006AF2">
        <w:rPr>
          <w:rFonts w:eastAsia="Times New Roman" w:cstheme="minorHAnsi"/>
          <w:color w:val="000000"/>
        </w:rPr>
        <w:t xml:space="preserve"> may be attributed to the growth in the population of students in each of those grade levels compared to the previous school year</w:t>
      </w:r>
      <w:r w:rsidR="00786171">
        <w:rPr>
          <w:rFonts w:eastAsia="Times New Roman" w:cstheme="minorHAnsi"/>
          <w:color w:val="000000"/>
        </w:rPr>
        <w:t>’</w:t>
      </w:r>
      <w:r w:rsidRPr="00006AF2">
        <w:rPr>
          <w:rFonts w:eastAsia="Times New Roman" w:cstheme="minorHAnsi"/>
          <w:color w:val="000000"/>
        </w:rPr>
        <w:t>s count</w:t>
      </w:r>
      <w:r w:rsidRPr="00977DCC">
        <w:rPr>
          <w:rFonts w:eastAsia="Times New Roman" w:cstheme="minorHAnsi"/>
          <w:color w:val="000000"/>
        </w:rPr>
        <w:t>.</w:t>
      </w:r>
    </w:p>
    <w:p w14:paraId="110B569E" w14:textId="77777777" w:rsidR="00C914C9" w:rsidRPr="0099110B" w:rsidRDefault="00C914C9" w:rsidP="00EE416D">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Ohio</w:t>
      </w:r>
    </w:p>
    <w:p w14:paraId="3F04F8B0" w14:textId="21AFF931" w:rsidR="00006AF2" w:rsidRDefault="00FF2A9B" w:rsidP="00EE416D">
      <w:pPr>
        <w:spacing w:after="0" w:line="240" w:lineRule="auto"/>
        <w:rPr>
          <w:rFonts w:eastAsiaTheme="minorEastAsia" w:cstheme="minorHAnsi"/>
        </w:rPr>
      </w:pPr>
      <w:r w:rsidRPr="0099110B">
        <w:rPr>
          <w:rFonts w:eastAsiaTheme="minorEastAsia" w:cstheme="minorHAnsi"/>
        </w:rPr>
        <w:t>-</w:t>
      </w:r>
      <w:r w:rsidRPr="0099110B">
        <w:rPr>
          <w:rFonts w:eastAsia="Times New Roman" w:cstheme="minorHAnsi"/>
          <w:color w:val="000000"/>
        </w:rPr>
        <w:t xml:space="preserve"> </w:t>
      </w:r>
      <w:r w:rsidR="00006AF2" w:rsidRPr="006E0360">
        <w:rPr>
          <w:rFonts w:eastAsia="Times New Roman"/>
        </w:rPr>
        <w:t>The State provided the following response(s) to large Year to Year change(s)</w:t>
      </w:r>
      <w:r w:rsidR="00006AF2" w:rsidRPr="0099110B">
        <w:rPr>
          <w:rFonts w:eastAsiaTheme="minorEastAsia" w:cstheme="minorHAnsi"/>
        </w:rPr>
        <w:t>:</w:t>
      </w:r>
    </w:p>
    <w:p w14:paraId="60D453A9" w14:textId="77777777" w:rsidR="00080520" w:rsidRDefault="00006AF2" w:rsidP="00EE416D">
      <w:pPr>
        <w:pStyle w:val="ListParagraph"/>
        <w:numPr>
          <w:ilvl w:val="0"/>
          <w:numId w:val="19"/>
        </w:numPr>
        <w:spacing w:line="240" w:lineRule="auto"/>
        <w:rPr>
          <w:rFonts w:eastAsia="Times New Roman" w:cstheme="minorHAnsi"/>
          <w:color w:val="000000"/>
        </w:rPr>
      </w:pPr>
      <w:r w:rsidRPr="00006AF2">
        <w:rPr>
          <w:rFonts w:eastAsia="Times New Roman" w:cstheme="minorHAnsi"/>
          <w:color w:val="000000"/>
        </w:rPr>
        <w:t xml:space="preserve">Ohio's student enrollment dropped significantly between </w:t>
      </w:r>
      <w:r w:rsidR="001F4D6B">
        <w:rPr>
          <w:rFonts w:eastAsia="Times New Roman" w:cstheme="minorHAnsi"/>
          <w:color w:val="000000"/>
        </w:rPr>
        <w:t xml:space="preserve">SY </w:t>
      </w:r>
      <w:r w:rsidRPr="00006AF2">
        <w:rPr>
          <w:rFonts w:eastAsia="Times New Roman" w:cstheme="minorHAnsi"/>
          <w:color w:val="000000"/>
        </w:rPr>
        <w:t xml:space="preserve">2018-19 and </w:t>
      </w:r>
      <w:r w:rsidR="001F4D6B">
        <w:rPr>
          <w:rFonts w:eastAsia="Times New Roman" w:cstheme="minorHAnsi"/>
          <w:color w:val="000000"/>
        </w:rPr>
        <w:t xml:space="preserve">SY </w:t>
      </w:r>
      <w:r w:rsidRPr="00006AF2">
        <w:rPr>
          <w:rFonts w:eastAsia="Times New Roman" w:cstheme="minorHAnsi"/>
          <w:color w:val="000000"/>
        </w:rPr>
        <w:t>2021-22</w:t>
      </w:r>
      <w:r w:rsidR="00F14835">
        <w:rPr>
          <w:rFonts w:eastAsia="Times New Roman" w:cstheme="minorHAnsi"/>
          <w:color w:val="000000"/>
        </w:rPr>
        <w:t>;</w:t>
      </w:r>
      <w:r w:rsidRPr="00006AF2">
        <w:rPr>
          <w:rFonts w:eastAsia="Times New Roman" w:cstheme="minorHAnsi"/>
          <w:color w:val="000000"/>
        </w:rPr>
        <w:t xml:space="preserve"> </w:t>
      </w:r>
      <w:r w:rsidR="00F14835">
        <w:rPr>
          <w:rFonts w:eastAsia="Times New Roman" w:cstheme="minorHAnsi"/>
          <w:color w:val="000000"/>
        </w:rPr>
        <w:t>t</w:t>
      </w:r>
      <w:r w:rsidRPr="00006AF2">
        <w:rPr>
          <w:rFonts w:eastAsia="Times New Roman" w:cstheme="minorHAnsi"/>
          <w:color w:val="000000"/>
        </w:rPr>
        <w:t>hus, the number of students that would have potentially taken an alternate assessment has decreased. In addition, Ohio implemented the Alternate Assessment Decision-Making Tool in fall 2020. The tool is embedded in the state’s individualized education program documents and is required to be utilized when statewide testing is considered. This tool has improved the proper identification of students with disabilities who do/do not need to take alternate assessments, resulting in fewer students taking alternate assessments.</w:t>
      </w:r>
    </w:p>
    <w:p w14:paraId="5B4E5112" w14:textId="5A3C92B0" w:rsidR="00080520" w:rsidRDefault="00080520" w:rsidP="00EE416D">
      <w:pPr>
        <w:pStyle w:val="ListParagraph"/>
        <w:numPr>
          <w:ilvl w:val="0"/>
          <w:numId w:val="19"/>
        </w:numPr>
        <w:spacing w:line="240" w:lineRule="auto"/>
        <w:rPr>
          <w:rFonts w:eastAsia="Times New Roman" w:cstheme="minorHAnsi"/>
          <w:color w:val="000000"/>
        </w:rPr>
      </w:pPr>
      <w:r>
        <w:rPr>
          <w:rFonts w:eastAsia="Times New Roman" w:cstheme="minorHAnsi"/>
          <w:color w:val="000000"/>
        </w:rPr>
        <w:br w:type="page"/>
      </w:r>
    </w:p>
    <w:p w14:paraId="17B73EBB" w14:textId="38FAD2E7" w:rsidR="00006AF2" w:rsidRPr="0099110B" w:rsidRDefault="00006AF2" w:rsidP="00EE416D">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w:t>
      </w:r>
      <w:r>
        <w:rPr>
          <w:rFonts w:eastAsia="Times New Roman" w:cstheme="minorHAnsi"/>
          <w:b/>
          <w:bCs/>
          <w:color w:val="000000" w:themeColor="text1"/>
        </w:rPr>
        <w:t>klahoma</w:t>
      </w:r>
    </w:p>
    <w:p w14:paraId="6BEE5C41" w14:textId="756472BC" w:rsidR="00006AF2" w:rsidRDefault="00006AF2" w:rsidP="00A76244">
      <w:pPr>
        <w:spacing w:after="0" w:line="240" w:lineRule="auto"/>
        <w:rPr>
          <w:rFonts w:eastAsiaTheme="minorEastAsia" w:cstheme="minorHAnsi"/>
        </w:rPr>
      </w:pPr>
      <w:r w:rsidRPr="0099110B">
        <w:rPr>
          <w:rFonts w:eastAsiaTheme="minorEastAsia" w:cstheme="minorHAnsi"/>
        </w:rPr>
        <w:t>-</w:t>
      </w:r>
      <w:r w:rsidRPr="0099110B">
        <w:rPr>
          <w:rFonts w:eastAsia="Times New Roman" w:cstheme="minorHAnsi"/>
          <w:color w:val="000000"/>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1182B9A7" w14:textId="5C84EF9E" w:rsidR="00006AF2" w:rsidRPr="00EE416D" w:rsidRDefault="00006AF2" w:rsidP="00A76244">
      <w:pPr>
        <w:pStyle w:val="ListParagraph"/>
        <w:numPr>
          <w:ilvl w:val="0"/>
          <w:numId w:val="19"/>
        </w:numPr>
        <w:spacing w:line="240" w:lineRule="auto"/>
        <w:rPr>
          <w:rFonts w:eastAsiaTheme="minorEastAsia" w:cstheme="minorHAnsi"/>
        </w:rPr>
      </w:pPr>
      <w:r w:rsidRPr="00006AF2">
        <w:rPr>
          <w:rFonts w:eastAsia="Times New Roman" w:cstheme="minorHAnsi"/>
          <w:color w:val="000000"/>
        </w:rPr>
        <w:t xml:space="preserve">Oklahoma did not require testing for </w:t>
      </w:r>
      <w:r w:rsidR="001F4D6B">
        <w:rPr>
          <w:rFonts w:eastAsia="Times New Roman" w:cstheme="minorHAnsi"/>
          <w:color w:val="000000"/>
        </w:rPr>
        <w:t xml:space="preserve">SY </w:t>
      </w:r>
      <w:r w:rsidRPr="00006AF2">
        <w:rPr>
          <w:rFonts w:eastAsia="Times New Roman" w:cstheme="minorHAnsi"/>
          <w:color w:val="000000"/>
        </w:rPr>
        <w:t xml:space="preserve">2020-21 because of the COVID-19 pandemic. Additionally, Oklahoma had an assessment waiver in place. We believe this explains the large differences in assessment counts between </w:t>
      </w:r>
      <w:r w:rsidR="001F4D6B">
        <w:rPr>
          <w:rFonts w:eastAsia="Times New Roman" w:cstheme="minorHAnsi"/>
          <w:color w:val="000000"/>
        </w:rPr>
        <w:t>SY</w:t>
      </w:r>
      <w:r w:rsidRPr="00006AF2">
        <w:rPr>
          <w:rFonts w:eastAsia="Times New Roman" w:cstheme="minorHAnsi"/>
          <w:color w:val="000000"/>
        </w:rPr>
        <w:t xml:space="preserve"> 2020-21 and </w:t>
      </w:r>
      <w:r w:rsidR="001F4D6B">
        <w:rPr>
          <w:rFonts w:eastAsia="Times New Roman" w:cstheme="minorHAnsi"/>
          <w:color w:val="000000"/>
        </w:rPr>
        <w:t xml:space="preserve">SY </w:t>
      </w:r>
      <w:r w:rsidRPr="00006AF2">
        <w:rPr>
          <w:rFonts w:eastAsia="Times New Roman" w:cstheme="minorHAnsi"/>
          <w:color w:val="000000"/>
        </w:rPr>
        <w:t>2021-22.</w:t>
      </w:r>
    </w:p>
    <w:p w14:paraId="6DEC0521" w14:textId="5AFF72CB" w:rsidR="003C4372" w:rsidRPr="0012511B" w:rsidRDefault="00D56CC3"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Oregon</w:t>
      </w:r>
    </w:p>
    <w:p w14:paraId="2DA1C7A5" w14:textId="00D4A3E9" w:rsidR="002D2E1D" w:rsidRPr="00080520" w:rsidRDefault="00600161" w:rsidP="00A8593B">
      <w:pPr>
        <w:spacing w:line="240" w:lineRule="auto"/>
        <w:rPr>
          <w:rFonts w:eastAsia="Times New Roman" w:cstheme="minorHAnsi"/>
          <w:color w:val="000000"/>
        </w:rPr>
      </w:pPr>
      <w:r>
        <w:rPr>
          <w:rFonts w:eastAsia="Times New Roman" w:cstheme="minorHAnsi"/>
          <w:color w:val="000000"/>
        </w:rPr>
        <w:t xml:space="preserve">- </w:t>
      </w:r>
      <w:r w:rsidRPr="00A8593B">
        <w:rPr>
          <w:rFonts w:eastAsia="Times New Roman" w:cstheme="minorHAnsi"/>
          <w:color w:val="000000"/>
        </w:rPr>
        <w:t xml:space="preserve">At the </w:t>
      </w:r>
      <w:r>
        <w:rPr>
          <w:rFonts w:eastAsia="Times New Roman" w:cstheme="minorHAnsi"/>
          <w:color w:val="000000"/>
        </w:rPr>
        <w:t>s</w:t>
      </w:r>
      <w:r w:rsidRPr="00A8593B">
        <w:rPr>
          <w:rFonts w:eastAsia="Times New Roman" w:cstheme="minorHAnsi"/>
          <w:color w:val="000000"/>
        </w:rPr>
        <w:t>chool level, we exclude students who were in District Special Education programs</w:t>
      </w:r>
      <w:r>
        <w:rPr>
          <w:rFonts w:eastAsia="Times New Roman" w:cstheme="minorHAnsi"/>
          <w:color w:val="000000"/>
        </w:rPr>
        <w:t>. T</w:t>
      </w:r>
      <w:r w:rsidRPr="00A8593B">
        <w:rPr>
          <w:rFonts w:eastAsia="Times New Roman" w:cstheme="minorHAnsi"/>
          <w:color w:val="000000"/>
        </w:rPr>
        <w:t xml:space="preserve">hese students are reported at the LEA and SEA levels but not at the </w:t>
      </w:r>
      <w:r>
        <w:rPr>
          <w:rFonts w:eastAsia="Times New Roman" w:cstheme="minorHAnsi"/>
          <w:color w:val="000000"/>
        </w:rPr>
        <w:t>s</w:t>
      </w:r>
      <w:r w:rsidRPr="00A8593B">
        <w:rPr>
          <w:rFonts w:eastAsia="Times New Roman" w:cstheme="minorHAnsi"/>
          <w:color w:val="000000"/>
        </w:rPr>
        <w:t xml:space="preserve">chool level. The discrepancy between the counts of students at the </w:t>
      </w:r>
      <w:r>
        <w:rPr>
          <w:rFonts w:eastAsia="Times New Roman" w:cstheme="minorHAnsi"/>
          <w:color w:val="000000"/>
        </w:rPr>
        <w:t>s</w:t>
      </w:r>
      <w:r w:rsidRPr="00A8593B">
        <w:rPr>
          <w:rFonts w:eastAsia="Times New Roman" w:cstheme="minorHAnsi"/>
          <w:color w:val="000000"/>
        </w:rPr>
        <w:t xml:space="preserve">tate and </w:t>
      </w:r>
      <w:r>
        <w:rPr>
          <w:rFonts w:eastAsia="Times New Roman" w:cstheme="minorHAnsi"/>
          <w:color w:val="000000"/>
        </w:rPr>
        <w:t>s</w:t>
      </w:r>
      <w:r w:rsidRPr="00A8593B">
        <w:rPr>
          <w:rFonts w:eastAsia="Times New Roman" w:cstheme="minorHAnsi"/>
          <w:color w:val="000000"/>
        </w:rPr>
        <w:t>chool levels is equal to the number of District Special Ed</w:t>
      </w:r>
      <w:r>
        <w:rPr>
          <w:rFonts w:eastAsia="Times New Roman" w:cstheme="minorHAnsi"/>
          <w:color w:val="000000"/>
        </w:rPr>
        <w:t>ucation</w:t>
      </w:r>
      <w:r w:rsidRPr="00A8593B">
        <w:rPr>
          <w:rFonts w:eastAsia="Times New Roman" w:cstheme="minorHAnsi"/>
          <w:color w:val="000000"/>
        </w:rPr>
        <w:t xml:space="preserve"> students at each grade and achievement level</w:t>
      </w:r>
      <w:r w:rsidRPr="0099110B">
        <w:rPr>
          <w:rFonts w:eastAsia="Times New Roman" w:cstheme="minorHAnsi"/>
          <w:color w:val="000000"/>
        </w:rPr>
        <w:t>.</w:t>
      </w:r>
    </w:p>
    <w:p w14:paraId="1BF6A724" w14:textId="77777777" w:rsidR="0045793E" w:rsidRPr="0099110B" w:rsidRDefault="0045793E"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Pennsylvania</w:t>
      </w:r>
    </w:p>
    <w:p w14:paraId="76324CA5" w14:textId="7024AAEE" w:rsidR="00987CAD" w:rsidRDefault="00987CAD" w:rsidP="00080520">
      <w:pPr>
        <w:spacing w:line="240" w:lineRule="auto"/>
        <w:rPr>
          <w:rFonts w:eastAsiaTheme="minorEastAsia" w:cstheme="minorHAnsi"/>
        </w:rPr>
      </w:pPr>
      <w:r w:rsidRPr="0099110B">
        <w:rPr>
          <w:rFonts w:eastAsia="Times New Roman" w:cstheme="minorHAnsi"/>
          <w:color w:val="000000"/>
        </w:rPr>
        <w:t>-</w:t>
      </w:r>
      <w:r>
        <w:rPr>
          <w:rFonts w:eastAsia="Times New Roman" w:cstheme="minorHAnsi"/>
          <w:color w:val="000000"/>
        </w:rPr>
        <w:t xml:space="preserve"> </w:t>
      </w:r>
      <w:r w:rsidRPr="00987CAD">
        <w:rPr>
          <w:rFonts w:eastAsiaTheme="minorEastAsia" w:cstheme="minorHAnsi"/>
        </w:rPr>
        <w:t>As a result of our attribution rules, the sum of LEA results may diff</w:t>
      </w:r>
      <w:r w:rsidR="002D6532">
        <w:rPr>
          <w:rFonts w:eastAsiaTheme="minorEastAsia" w:cstheme="minorHAnsi"/>
        </w:rPr>
        <w:t>er</w:t>
      </w:r>
      <w:r w:rsidRPr="00987CAD">
        <w:rPr>
          <w:rFonts w:eastAsiaTheme="minorEastAsia" w:cstheme="minorHAnsi"/>
        </w:rPr>
        <w:t xml:space="preserve"> from the state results because students may be included in the state results but not in the LEA results.</w:t>
      </w:r>
    </w:p>
    <w:p w14:paraId="7A1FA585" w14:textId="77777777" w:rsidR="00987CAD" w:rsidRDefault="00AE24BD" w:rsidP="00A76244">
      <w:pPr>
        <w:spacing w:after="0" w:line="240" w:lineRule="auto"/>
        <w:rPr>
          <w:rFonts w:eastAsia="Times New Roman"/>
        </w:rPr>
      </w:pPr>
      <w:r w:rsidRPr="0099110B">
        <w:rPr>
          <w:rFonts w:eastAsia="Times New Roman" w:cstheme="minorHAnsi"/>
          <w:color w:val="000000"/>
        </w:rPr>
        <w:t>-</w:t>
      </w:r>
      <w:r w:rsidR="0012511B">
        <w:rPr>
          <w:rFonts w:eastAsia="Times New Roman" w:cstheme="minorHAnsi"/>
          <w:color w:val="000000"/>
        </w:rPr>
        <w:t xml:space="preserve"> </w:t>
      </w:r>
      <w:r w:rsidR="00CA4A4B" w:rsidRPr="006E0360">
        <w:rPr>
          <w:rFonts w:eastAsia="Times New Roman"/>
        </w:rPr>
        <w:t>The State provided the following response(s) to large Year to Year change(s)</w:t>
      </w:r>
      <w:r w:rsidR="00987CAD">
        <w:rPr>
          <w:rFonts w:eastAsia="Times New Roman"/>
        </w:rPr>
        <w:t>:</w:t>
      </w:r>
    </w:p>
    <w:p w14:paraId="115C1025" w14:textId="77777777" w:rsidR="003824B2" w:rsidRDefault="00987CAD" w:rsidP="00A76244">
      <w:pPr>
        <w:pStyle w:val="ListParagraph"/>
        <w:numPr>
          <w:ilvl w:val="0"/>
          <w:numId w:val="19"/>
        </w:numPr>
        <w:spacing w:line="240" w:lineRule="auto"/>
        <w:rPr>
          <w:rFonts w:eastAsia="Times New Roman" w:cstheme="minorHAnsi"/>
        </w:rPr>
      </w:pPr>
      <w:r w:rsidRPr="00987CAD">
        <w:rPr>
          <w:rFonts w:eastAsia="Times New Roman" w:cstheme="minorHAnsi"/>
        </w:rPr>
        <w:t xml:space="preserve">The </w:t>
      </w:r>
      <w:r w:rsidR="002D6532">
        <w:rPr>
          <w:rFonts w:eastAsia="Times New Roman" w:cstheme="minorHAnsi"/>
        </w:rPr>
        <w:t xml:space="preserve">SY </w:t>
      </w:r>
      <w:r w:rsidRPr="00987CAD">
        <w:rPr>
          <w:rFonts w:eastAsia="Times New Roman" w:cstheme="minorHAnsi"/>
        </w:rPr>
        <w:t>20</w:t>
      </w:r>
      <w:r w:rsidR="002E5A42">
        <w:rPr>
          <w:rFonts w:eastAsia="Times New Roman" w:cstheme="minorHAnsi"/>
        </w:rPr>
        <w:t>20-</w:t>
      </w:r>
      <w:r w:rsidRPr="00987CAD">
        <w:rPr>
          <w:rFonts w:eastAsia="Times New Roman" w:cstheme="minorHAnsi"/>
        </w:rPr>
        <w:t xml:space="preserve">21 data is an outlier because of coronavirus exemption. Exemptions continue to affect high school rates substantially. PA banks end-of-course exams for high school to the 11th grade year. Accordingly, waivers from </w:t>
      </w:r>
      <w:r w:rsidR="002E5A42">
        <w:rPr>
          <w:rFonts w:eastAsia="Times New Roman" w:cstheme="minorHAnsi"/>
        </w:rPr>
        <w:t xml:space="preserve">SY </w:t>
      </w:r>
      <w:r w:rsidRPr="00987CAD">
        <w:rPr>
          <w:rFonts w:eastAsia="Times New Roman" w:cstheme="minorHAnsi"/>
        </w:rPr>
        <w:t xml:space="preserve">2019-20 are also banked to grade 11. We expect to see this effect until </w:t>
      </w:r>
      <w:r w:rsidR="002E5A42">
        <w:rPr>
          <w:rFonts w:eastAsia="Times New Roman" w:cstheme="minorHAnsi"/>
        </w:rPr>
        <w:t xml:space="preserve">SY </w:t>
      </w:r>
      <w:r w:rsidRPr="00987CAD">
        <w:rPr>
          <w:rFonts w:eastAsia="Times New Roman" w:cstheme="minorHAnsi"/>
        </w:rPr>
        <w:t>2023-24.</w:t>
      </w:r>
    </w:p>
    <w:p w14:paraId="0017F063" w14:textId="77777777" w:rsidR="00864A81" w:rsidRPr="0099110B" w:rsidRDefault="00864A81"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Republic of Palau</w:t>
      </w:r>
    </w:p>
    <w:p w14:paraId="11887C98" w14:textId="03E5D414" w:rsidR="005D7EC9" w:rsidRDefault="005F0623" w:rsidP="00A76244">
      <w:pPr>
        <w:spacing w:line="240" w:lineRule="auto"/>
        <w:rPr>
          <w:rFonts w:eastAsia="Times New Roman" w:cstheme="minorHAnsi"/>
          <w:color w:val="000000"/>
        </w:rPr>
      </w:pPr>
      <w:r w:rsidRPr="0099110B">
        <w:rPr>
          <w:rFonts w:eastAsiaTheme="minorEastAsia" w:cstheme="minorHAnsi"/>
        </w:rPr>
        <w:t>-</w:t>
      </w:r>
      <w:r w:rsidR="005D7EC9" w:rsidRPr="0099110B">
        <w:rPr>
          <w:rFonts w:eastAsia="Times New Roman" w:cstheme="minorHAnsi"/>
          <w:color w:val="000000"/>
        </w:rPr>
        <w:t xml:space="preserve"> </w:t>
      </w:r>
      <w:r w:rsidR="00987CAD" w:rsidRPr="00987CAD">
        <w:rPr>
          <w:rFonts w:eastAsia="Times New Roman" w:cstheme="minorHAnsi"/>
          <w:color w:val="000000"/>
        </w:rPr>
        <w:t>Palau only submit</w:t>
      </w:r>
      <w:r w:rsidR="002E5A42">
        <w:rPr>
          <w:rFonts w:eastAsia="Times New Roman" w:cstheme="minorHAnsi"/>
          <w:color w:val="000000"/>
        </w:rPr>
        <w:t>s</w:t>
      </w:r>
      <w:r w:rsidR="00987CAD" w:rsidRPr="00987CAD">
        <w:rPr>
          <w:rFonts w:eastAsia="Times New Roman" w:cstheme="minorHAnsi"/>
          <w:color w:val="000000"/>
        </w:rPr>
        <w:t xml:space="preserve"> assessment data </w:t>
      </w:r>
      <w:r w:rsidR="002168E2">
        <w:rPr>
          <w:rFonts w:eastAsia="Times New Roman" w:cstheme="minorHAnsi"/>
          <w:color w:val="000000"/>
        </w:rPr>
        <w:t xml:space="preserve">on children with disabilities (IDEA) to the US Department of Education. </w:t>
      </w:r>
    </w:p>
    <w:p w14:paraId="45464F92" w14:textId="2305BDB6" w:rsidR="00987CAD" w:rsidRPr="0099110B" w:rsidRDefault="00987CAD" w:rsidP="00A76244">
      <w:pPr>
        <w:spacing w:line="240" w:lineRule="auto"/>
        <w:rPr>
          <w:rFonts w:eastAsiaTheme="minorEastAsia" w:cstheme="minorHAnsi"/>
        </w:rPr>
      </w:pPr>
      <w:r w:rsidRPr="0099110B">
        <w:rPr>
          <w:rFonts w:eastAsiaTheme="minorEastAsia" w:cstheme="minorHAnsi"/>
        </w:rPr>
        <w:t>-</w:t>
      </w:r>
      <w:r w:rsidRPr="0099110B">
        <w:rPr>
          <w:rFonts w:eastAsia="Times New Roman" w:cstheme="minorHAnsi"/>
          <w:color w:val="000000"/>
        </w:rPr>
        <w:t xml:space="preserve"> </w:t>
      </w:r>
      <w:r w:rsidRPr="00987CAD">
        <w:rPr>
          <w:rFonts w:eastAsia="Times New Roman" w:cstheme="minorHAnsi"/>
          <w:color w:val="000000"/>
        </w:rPr>
        <w:t>All students who participated this school year</w:t>
      </w:r>
      <w:r w:rsidR="002E5A42">
        <w:rPr>
          <w:rFonts w:eastAsia="Times New Roman" w:cstheme="minorHAnsi"/>
          <w:color w:val="000000"/>
        </w:rPr>
        <w:t>’s assessments</w:t>
      </w:r>
      <w:r w:rsidRPr="00987CAD">
        <w:rPr>
          <w:rFonts w:eastAsia="Times New Roman" w:cstheme="minorHAnsi"/>
          <w:color w:val="000000"/>
        </w:rPr>
        <w:t xml:space="preserve"> needed acco</w:t>
      </w:r>
      <w:r w:rsidR="002E5A42">
        <w:rPr>
          <w:rFonts w:eastAsia="Times New Roman" w:cstheme="minorHAnsi"/>
          <w:color w:val="000000"/>
        </w:rPr>
        <w:t>m</w:t>
      </w:r>
      <w:r w:rsidRPr="00987CAD">
        <w:rPr>
          <w:rFonts w:eastAsia="Times New Roman" w:cstheme="minorHAnsi"/>
          <w:color w:val="000000"/>
        </w:rPr>
        <w:t>modation in order to participate in the statewide assessment</w:t>
      </w:r>
      <w:r w:rsidR="002E5A42">
        <w:rPr>
          <w:rFonts w:eastAsia="Times New Roman" w:cstheme="minorHAnsi"/>
          <w:color w:val="000000"/>
        </w:rPr>
        <w:t>s</w:t>
      </w:r>
      <w:r w:rsidRPr="0099110B">
        <w:rPr>
          <w:rFonts w:eastAsia="Times New Roman" w:cstheme="minorHAnsi"/>
          <w:color w:val="000000"/>
        </w:rPr>
        <w:t>.</w:t>
      </w:r>
    </w:p>
    <w:p w14:paraId="533B5529" w14:textId="77777777" w:rsidR="002B4475" w:rsidRPr="0099110B" w:rsidRDefault="002B4475"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Republic of the Marshall Islands</w:t>
      </w:r>
    </w:p>
    <w:p w14:paraId="4C7B1850" w14:textId="25E41C45" w:rsidR="002E3EBF" w:rsidRDefault="002E3EBF" w:rsidP="00FF05BC">
      <w:pPr>
        <w:spacing w:line="240" w:lineRule="auto"/>
        <w:rPr>
          <w:rFonts w:eastAsia="Times New Roman" w:cstheme="minorHAnsi"/>
          <w:color w:val="000000"/>
        </w:rPr>
      </w:pPr>
      <w:r w:rsidRPr="0099110B">
        <w:rPr>
          <w:rFonts w:eastAsia="Times New Roman" w:cstheme="minorHAnsi"/>
          <w:color w:val="000000"/>
        </w:rPr>
        <w:t xml:space="preserve">- </w:t>
      </w:r>
      <w:r w:rsidR="00987CAD" w:rsidRPr="00987CAD">
        <w:rPr>
          <w:rFonts w:eastAsia="Times New Roman" w:cstheme="minorHAnsi"/>
          <w:color w:val="000000"/>
        </w:rPr>
        <w:t>The R</w:t>
      </w:r>
      <w:r w:rsidR="002E5A42">
        <w:rPr>
          <w:rFonts w:eastAsia="Times New Roman" w:cstheme="minorHAnsi"/>
          <w:color w:val="000000"/>
        </w:rPr>
        <w:t xml:space="preserve">epublic of the </w:t>
      </w:r>
      <w:r w:rsidR="00987CAD" w:rsidRPr="00987CAD">
        <w:rPr>
          <w:rFonts w:eastAsia="Times New Roman" w:cstheme="minorHAnsi"/>
          <w:color w:val="000000"/>
        </w:rPr>
        <w:t>M</w:t>
      </w:r>
      <w:r w:rsidR="002E5A42">
        <w:rPr>
          <w:rFonts w:eastAsia="Times New Roman" w:cstheme="minorHAnsi"/>
          <w:color w:val="000000"/>
        </w:rPr>
        <w:t xml:space="preserve">arshall </w:t>
      </w:r>
      <w:r w:rsidR="00987CAD" w:rsidRPr="00987CAD">
        <w:rPr>
          <w:rFonts w:eastAsia="Times New Roman" w:cstheme="minorHAnsi"/>
          <w:color w:val="000000"/>
        </w:rPr>
        <w:t>I</w:t>
      </w:r>
      <w:r w:rsidR="002E5A42">
        <w:rPr>
          <w:rFonts w:eastAsia="Times New Roman" w:cstheme="minorHAnsi"/>
          <w:color w:val="000000"/>
        </w:rPr>
        <w:t>slands</w:t>
      </w:r>
      <w:r w:rsidR="002168E2">
        <w:rPr>
          <w:rFonts w:eastAsia="Times New Roman" w:cstheme="minorHAnsi"/>
          <w:color w:val="000000"/>
        </w:rPr>
        <w:t xml:space="preserve"> (RMI)</w:t>
      </w:r>
      <w:r w:rsidR="002E5A42">
        <w:rPr>
          <w:rFonts w:eastAsia="Times New Roman" w:cstheme="minorHAnsi"/>
          <w:color w:val="000000"/>
        </w:rPr>
        <w:t xml:space="preserve"> </w:t>
      </w:r>
      <w:r w:rsidR="00987CAD" w:rsidRPr="00987CAD">
        <w:rPr>
          <w:rFonts w:eastAsia="Times New Roman" w:cstheme="minorHAnsi"/>
          <w:color w:val="000000"/>
        </w:rPr>
        <w:t>does not submit ESSA data</w:t>
      </w:r>
      <w:r w:rsidR="002E5A42">
        <w:rPr>
          <w:rFonts w:eastAsia="Times New Roman" w:cstheme="minorHAnsi"/>
          <w:color w:val="000000"/>
        </w:rPr>
        <w:t>.</w:t>
      </w:r>
      <w:r w:rsidR="002168E2">
        <w:rPr>
          <w:rFonts w:eastAsia="Times New Roman" w:cstheme="minorHAnsi"/>
          <w:color w:val="000000"/>
        </w:rPr>
        <w:t xml:space="preserve"> </w:t>
      </w:r>
      <w:r w:rsidR="00987CAD" w:rsidRPr="00987CAD">
        <w:rPr>
          <w:rFonts w:eastAsia="Times New Roman" w:cstheme="minorHAnsi"/>
          <w:color w:val="000000"/>
        </w:rPr>
        <w:t xml:space="preserve">RMI only submits </w:t>
      </w:r>
      <w:r w:rsidR="002168E2">
        <w:rPr>
          <w:rFonts w:eastAsia="Times New Roman" w:cstheme="minorHAnsi"/>
          <w:color w:val="000000"/>
        </w:rPr>
        <w:t xml:space="preserve">assessment data on children with disabilities (IDEA) to the US Department of Education. </w:t>
      </w:r>
    </w:p>
    <w:p w14:paraId="04F22DF1" w14:textId="63AC440A" w:rsidR="00987CAD" w:rsidRDefault="00987CAD" w:rsidP="00987CAD">
      <w:pPr>
        <w:spacing w:line="240" w:lineRule="auto"/>
        <w:rPr>
          <w:rFonts w:eastAsia="Times New Roman" w:cstheme="minorHAnsi"/>
          <w:color w:val="000000"/>
        </w:rPr>
      </w:pPr>
      <w:r w:rsidRPr="0099110B">
        <w:rPr>
          <w:rFonts w:eastAsia="Times New Roman" w:cstheme="minorHAnsi"/>
          <w:color w:val="000000"/>
        </w:rPr>
        <w:t>-</w:t>
      </w:r>
      <w:r>
        <w:rPr>
          <w:rFonts w:eastAsia="Times New Roman" w:cstheme="minorHAnsi"/>
          <w:color w:val="000000"/>
        </w:rPr>
        <w:t xml:space="preserve"> </w:t>
      </w:r>
      <w:r w:rsidRPr="00987CAD">
        <w:rPr>
          <w:rFonts w:eastAsia="Times New Roman" w:cstheme="minorHAnsi"/>
          <w:color w:val="000000"/>
        </w:rPr>
        <w:t>In SY 2021-22 all students with disabilities participated in the MISAT (Marshall Islands Standardized Achievement Test) with accommodations.</w:t>
      </w:r>
    </w:p>
    <w:p w14:paraId="0BB512F4" w14:textId="77777777" w:rsidR="00987CAD" w:rsidRDefault="00987CAD" w:rsidP="00A76244">
      <w:pPr>
        <w:spacing w:after="0" w:line="240" w:lineRule="auto"/>
        <w:rPr>
          <w:rFonts w:eastAsia="Times New Roman"/>
        </w:rPr>
      </w:pPr>
      <w:r w:rsidRPr="0099110B">
        <w:rPr>
          <w:rFonts w:eastAsia="Times New Roman" w:cstheme="minorHAnsi"/>
          <w:color w:val="000000"/>
        </w:rPr>
        <w:t>-</w:t>
      </w:r>
      <w:r>
        <w:rPr>
          <w:rFonts w:eastAsia="Times New Roman" w:cstheme="minorHAnsi"/>
          <w:color w:val="000000"/>
        </w:rPr>
        <w:t xml:space="preserve"> </w:t>
      </w:r>
      <w:r w:rsidRPr="006E0360">
        <w:rPr>
          <w:rFonts w:eastAsia="Times New Roman"/>
        </w:rPr>
        <w:t>The State provided the following response(s) to large Year to Year change(s)</w:t>
      </w:r>
      <w:r>
        <w:rPr>
          <w:rFonts w:eastAsia="Times New Roman"/>
        </w:rPr>
        <w:t>:</w:t>
      </w:r>
    </w:p>
    <w:p w14:paraId="74821D3C" w14:textId="69D23799" w:rsidR="00AA1A28" w:rsidRPr="002168E2" w:rsidRDefault="00AA1A28" w:rsidP="002168E2">
      <w:pPr>
        <w:pStyle w:val="ListParagraph"/>
        <w:numPr>
          <w:ilvl w:val="0"/>
          <w:numId w:val="19"/>
        </w:numPr>
        <w:spacing w:line="240" w:lineRule="auto"/>
        <w:rPr>
          <w:rFonts w:eastAsia="Times New Roman" w:cstheme="minorHAnsi"/>
          <w:color w:val="000000"/>
        </w:rPr>
      </w:pPr>
      <w:r w:rsidRPr="00AA1A28">
        <w:rPr>
          <w:rFonts w:eastAsia="Times New Roman" w:cstheme="minorHAnsi"/>
          <w:color w:val="000000"/>
        </w:rPr>
        <w:t>During SY 2020-21, RMI did not test high school students in mathematics, including students with IEPs</w:t>
      </w:r>
      <w:r w:rsidR="00F14835">
        <w:rPr>
          <w:rFonts w:eastAsia="Times New Roman" w:cstheme="minorHAnsi"/>
          <w:color w:val="000000"/>
        </w:rPr>
        <w:t>;</w:t>
      </w:r>
      <w:r w:rsidRPr="00AA1A28">
        <w:rPr>
          <w:rFonts w:eastAsia="Times New Roman" w:cstheme="minorHAnsi"/>
          <w:color w:val="000000"/>
        </w:rPr>
        <w:t xml:space="preserve"> this was due to a very specific issue. Tests resumed normally in SY 2021-22.</w:t>
      </w:r>
      <w:r w:rsidR="00C16F25">
        <w:rPr>
          <w:rFonts w:eastAsia="Times New Roman" w:cstheme="minorHAnsi"/>
          <w:color w:val="000000"/>
        </w:rPr>
        <w:t xml:space="preserve"> </w:t>
      </w:r>
      <w:r w:rsidR="00F14835">
        <w:rPr>
          <w:rFonts w:eastAsia="Times New Roman" w:cstheme="minorHAnsi"/>
          <w:color w:val="000000"/>
        </w:rPr>
        <w:t>The following</w:t>
      </w:r>
      <w:r w:rsidRPr="002168E2">
        <w:rPr>
          <w:rFonts w:eastAsia="Times New Roman" w:cstheme="minorHAnsi"/>
          <w:color w:val="000000"/>
        </w:rPr>
        <w:t xml:space="preserve"> is the explanation provided in the data notes for this file last year:</w:t>
      </w:r>
      <w:r w:rsidR="004245E1">
        <w:rPr>
          <w:rFonts w:eastAsia="Times New Roman" w:cstheme="minorHAnsi"/>
          <w:color w:val="000000"/>
        </w:rPr>
        <w:t xml:space="preserve"> </w:t>
      </w:r>
      <w:r w:rsidRPr="002168E2">
        <w:rPr>
          <w:rFonts w:eastAsia="Times New Roman" w:cstheme="minorHAnsi"/>
          <w:color w:val="000000"/>
        </w:rPr>
        <w:t>In SY 2020-21, the RMI assessment team canceled its implementation of the high school mathematics assessments due to printing errors on grades 10 and 12 Mathematics tests, which made quite a few test items unreadable. This resulted in the RMI assessment team’s inability to assess many of the benchmarks of the test; therefore, a decision was made that RMI would not score and report results for the high school mathematics assessments for SY 2020-21.</w:t>
      </w:r>
    </w:p>
    <w:p w14:paraId="073E3B40" w14:textId="70A260B8" w:rsidR="00CD49F4" w:rsidRPr="0099110B" w:rsidRDefault="00CD49F4" w:rsidP="00CD49F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South </w:t>
      </w:r>
      <w:r>
        <w:rPr>
          <w:rFonts w:eastAsia="Times New Roman" w:cstheme="minorHAnsi"/>
          <w:b/>
          <w:bCs/>
          <w:color w:val="000000" w:themeColor="text1"/>
        </w:rPr>
        <w:t>Dakota</w:t>
      </w:r>
    </w:p>
    <w:p w14:paraId="763DFAFB" w14:textId="77777777" w:rsidR="00CD49F4" w:rsidRDefault="00CD49F4" w:rsidP="00A76244">
      <w:pPr>
        <w:spacing w:after="0" w:line="240" w:lineRule="auto"/>
        <w:rPr>
          <w:rFonts w:eastAsia="Times New Roman"/>
        </w:rPr>
      </w:pPr>
      <w:r w:rsidRPr="0099110B">
        <w:rPr>
          <w:rFonts w:eastAsia="Times New Roman" w:cstheme="minorHAnsi"/>
          <w:color w:val="000000"/>
        </w:rPr>
        <w:t>-</w:t>
      </w:r>
      <w:r>
        <w:rPr>
          <w:rFonts w:eastAsia="Times New Roman" w:cstheme="minorHAnsi"/>
          <w:color w:val="000000"/>
        </w:rPr>
        <w:t xml:space="preserve"> </w:t>
      </w:r>
      <w:r w:rsidRPr="006E0360">
        <w:rPr>
          <w:rFonts w:eastAsia="Times New Roman"/>
        </w:rPr>
        <w:t>The State provided the following response(s) to large Year to Year change(s)</w:t>
      </w:r>
      <w:r>
        <w:rPr>
          <w:rFonts w:eastAsia="Times New Roman"/>
        </w:rPr>
        <w:t>:</w:t>
      </w:r>
    </w:p>
    <w:p w14:paraId="0D9F12ED" w14:textId="27436F35" w:rsidR="00CD49F4" w:rsidRPr="00CD49F4" w:rsidRDefault="00CD49F4" w:rsidP="00A76244">
      <w:pPr>
        <w:pStyle w:val="ListParagraph"/>
        <w:numPr>
          <w:ilvl w:val="0"/>
          <w:numId w:val="19"/>
        </w:numPr>
        <w:spacing w:line="240" w:lineRule="auto"/>
        <w:rPr>
          <w:rFonts w:cstheme="minorHAnsi"/>
        </w:rPr>
      </w:pPr>
      <w:r w:rsidRPr="00CD49F4">
        <w:rPr>
          <w:rFonts w:eastAsia="Times New Roman" w:cstheme="minorHAnsi"/>
        </w:rPr>
        <w:t>In the previous reporting cycle there were less participants due to COVID-19 impacts.</w:t>
      </w:r>
    </w:p>
    <w:p w14:paraId="3F82E846" w14:textId="77777777" w:rsidR="00A84BBA" w:rsidRPr="0099110B" w:rsidRDefault="00A84BBA"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Tennessee</w:t>
      </w:r>
    </w:p>
    <w:p w14:paraId="568B27A3" w14:textId="23E83462" w:rsidR="0016471C" w:rsidRDefault="002A7470" w:rsidP="002B1F65">
      <w:pPr>
        <w:spacing w:line="240" w:lineRule="auto"/>
        <w:rPr>
          <w:rFonts w:eastAsia="Times New Roman" w:cstheme="minorHAnsi"/>
          <w:color w:val="000000"/>
        </w:rPr>
      </w:pPr>
      <w:r w:rsidRPr="0099110B">
        <w:rPr>
          <w:rFonts w:eastAsia="Times New Roman" w:cstheme="minorHAnsi"/>
          <w:color w:val="000000"/>
        </w:rPr>
        <w:t>-</w:t>
      </w:r>
      <w:r w:rsidR="0016471C" w:rsidRPr="0099110B">
        <w:rPr>
          <w:rFonts w:eastAsia="Times New Roman" w:cstheme="minorHAnsi"/>
          <w:color w:val="000000"/>
        </w:rPr>
        <w:t xml:space="preserve"> </w:t>
      </w:r>
      <w:r w:rsidR="00A523F4" w:rsidRPr="00A523F4">
        <w:rPr>
          <w:rFonts w:eastAsia="Times New Roman" w:cstheme="minorHAnsi"/>
          <w:color w:val="000000"/>
        </w:rPr>
        <w:t>At the high school level, the alternative math</w:t>
      </w:r>
      <w:r w:rsidR="002125E5">
        <w:rPr>
          <w:rFonts w:eastAsia="Times New Roman" w:cstheme="minorHAnsi"/>
          <w:color w:val="000000"/>
        </w:rPr>
        <w:t xml:space="preserve"> and reading language arts</w:t>
      </w:r>
      <w:r w:rsidR="00A523F4" w:rsidRPr="00A523F4">
        <w:rPr>
          <w:rFonts w:eastAsia="Times New Roman" w:cstheme="minorHAnsi"/>
          <w:color w:val="000000"/>
        </w:rPr>
        <w:t xml:space="preserve"> assessment</w:t>
      </w:r>
      <w:r w:rsidR="002125E5">
        <w:rPr>
          <w:rFonts w:eastAsia="Times New Roman" w:cstheme="minorHAnsi"/>
          <w:color w:val="000000"/>
        </w:rPr>
        <w:t>s</w:t>
      </w:r>
      <w:r w:rsidR="00A523F4" w:rsidRPr="00A523F4">
        <w:rPr>
          <w:rFonts w:eastAsia="Times New Roman" w:cstheme="minorHAnsi"/>
          <w:color w:val="000000"/>
        </w:rPr>
        <w:t xml:space="preserve"> based on alternate achievement standards </w:t>
      </w:r>
      <w:r w:rsidR="002125E5">
        <w:rPr>
          <w:rFonts w:eastAsia="Times New Roman" w:cstheme="minorHAnsi"/>
          <w:color w:val="000000"/>
        </w:rPr>
        <w:t>are</w:t>
      </w:r>
      <w:r w:rsidR="00A523F4" w:rsidRPr="00A523F4">
        <w:rPr>
          <w:rFonts w:eastAsia="Times New Roman" w:cstheme="minorHAnsi"/>
          <w:color w:val="000000"/>
        </w:rPr>
        <w:t xml:space="preserve"> administered in 11th grade</w:t>
      </w:r>
      <w:r w:rsidR="009F50D9">
        <w:rPr>
          <w:rFonts w:eastAsia="Times New Roman" w:cstheme="minorHAnsi"/>
          <w:color w:val="000000"/>
        </w:rPr>
        <w:t xml:space="preserve"> only</w:t>
      </w:r>
      <w:r w:rsidR="00A523F4" w:rsidRPr="00A523F4">
        <w:rPr>
          <w:rFonts w:eastAsia="Times New Roman" w:cstheme="minorHAnsi"/>
          <w:color w:val="000000"/>
        </w:rPr>
        <w:t>.</w:t>
      </w:r>
    </w:p>
    <w:p w14:paraId="2D5080A1" w14:textId="5571DF3B" w:rsidR="00A523F4" w:rsidRDefault="003F78E8" w:rsidP="00A76244">
      <w:pPr>
        <w:spacing w:after="0" w:line="240" w:lineRule="auto"/>
        <w:rPr>
          <w:rFonts w:eastAsiaTheme="minorEastAsia" w:cstheme="minorHAnsi"/>
        </w:rPr>
      </w:pPr>
      <w:r w:rsidRPr="0099110B">
        <w:rPr>
          <w:rFonts w:eastAsia="Times New Roman" w:cstheme="minorHAnsi"/>
          <w:color w:val="000000"/>
        </w:rPr>
        <w:t>-</w:t>
      </w:r>
      <w:r w:rsidR="00B95FD0" w:rsidRPr="0099110B">
        <w:rPr>
          <w:rFonts w:eastAsiaTheme="minorEastAsia" w:cstheme="minorHAnsi"/>
        </w:rPr>
        <w:t xml:space="preserve"> </w:t>
      </w:r>
      <w:r w:rsidR="00CA4A4B" w:rsidRPr="006E0360">
        <w:rPr>
          <w:rFonts w:eastAsia="Times New Roman"/>
        </w:rPr>
        <w:t xml:space="preserve">The </w:t>
      </w:r>
      <w:r w:rsidR="002B1F65">
        <w:rPr>
          <w:rFonts w:eastAsia="Times New Roman"/>
        </w:rPr>
        <w:t>S</w:t>
      </w:r>
      <w:r w:rsidR="00CA4A4B" w:rsidRPr="006E0360">
        <w:rPr>
          <w:rFonts w:eastAsia="Times New Roman"/>
        </w:rPr>
        <w:t>tate provided the following response(s) to large Year to Year change(s)</w:t>
      </w:r>
      <w:r w:rsidR="001236DD" w:rsidRPr="0099110B">
        <w:rPr>
          <w:rFonts w:eastAsiaTheme="minorEastAsia" w:cstheme="minorHAnsi"/>
        </w:rPr>
        <w:t>:</w:t>
      </w:r>
    </w:p>
    <w:p w14:paraId="441A4908" w14:textId="27123F25" w:rsidR="001236DD" w:rsidRPr="00A523F4" w:rsidRDefault="00A523F4" w:rsidP="00A76244">
      <w:pPr>
        <w:pStyle w:val="ListParagraph"/>
        <w:numPr>
          <w:ilvl w:val="0"/>
          <w:numId w:val="19"/>
        </w:numPr>
        <w:spacing w:after="0" w:line="240" w:lineRule="auto"/>
        <w:rPr>
          <w:rFonts w:eastAsiaTheme="minorEastAsia" w:cstheme="minorHAnsi"/>
        </w:rPr>
      </w:pPr>
      <w:r w:rsidRPr="00A523F4">
        <w:rPr>
          <w:rFonts w:eastAsia="Times New Roman" w:cstheme="minorHAnsi"/>
          <w:color w:val="000000"/>
        </w:rPr>
        <w:t xml:space="preserve">In </w:t>
      </w:r>
      <w:r w:rsidR="009F50D9">
        <w:rPr>
          <w:rFonts w:eastAsia="Times New Roman" w:cstheme="minorHAnsi"/>
          <w:color w:val="000000"/>
        </w:rPr>
        <w:t xml:space="preserve">SY </w:t>
      </w:r>
      <w:r w:rsidRPr="00A523F4">
        <w:rPr>
          <w:rFonts w:eastAsia="Times New Roman" w:cstheme="minorHAnsi"/>
          <w:color w:val="000000"/>
        </w:rPr>
        <w:t>2021-22, to align ED</w:t>
      </w:r>
      <w:r w:rsidRPr="002B1F65">
        <w:rPr>
          <w:rFonts w:eastAsia="Times New Roman" w:cstheme="minorHAnsi"/>
          <w:i/>
          <w:iCs/>
          <w:color w:val="000000"/>
        </w:rPr>
        <w:t>Facts</w:t>
      </w:r>
      <w:r w:rsidRPr="00A523F4">
        <w:rPr>
          <w:rFonts w:eastAsia="Times New Roman" w:cstheme="minorHAnsi"/>
          <w:color w:val="000000"/>
        </w:rPr>
        <w:t xml:space="preserve"> and Report Card reporting, Algebra I, Algebra II, Geometry, Integrated Math I, Integrated Math II, and Integrated Math III results were reported for the high school math assessment. By contrast, in </w:t>
      </w:r>
      <w:r w:rsidR="009F50D9">
        <w:rPr>
          <w:rFonts w:eastAsia="Times New Roman" w:cstheme="minorHAnsi"/>
          <w:color w:val="000000"/>
        </w:rPr>
        <w:t xml:space="preserve">SY </w:t>
      </w:r>
      <w:r w:rsidRPr="00A523F4">
        <w:rPr>
          <w:rFonts w:eastAsia="Times New Roman" w:cstheme="minorHAnsi"/>
          <w:color w:val="000000"/>
        </w:rPr>
        <w:t>2020-21 only Algebra I and Integrated Math I were included in ED</w:t>
      </w:r>
      <w:r w:rsidRPr="002B1F65">
        <w:rPr>
          <w:rFonts w:eastAsia="Times New Roman" w:cstheme="minorHAnsi"/>
          <w:i/>
          <w:iCs/>
          <w:color w:val="000000"/>
        </w:rPr>
        <w:t>Facts</w:t>
      </w:r>
      <w:r w:rsidRPr="00A523F4">
        <w:rPr>
          <w:rFonts w:eastAsia="Times New Roman" w:cstheme="minorHAnsi"/>
          <w:color w:val="000000"/>
        </w:rPr>
        <w:t xml:space="preserve"> high school math reporting. As a result, the number students with disabilities who took a regular math assessment with accommodations increased substantially for grades 9 through 12</w:t>
      </w:r>
      <w:r w:rsidR="009F50D9">
        <w:rPr>
          <w:rFonts w:eastAsia="Times New Roman" w:cstheme="minorHAnsi"/>
          <w:color w:val="000000"/>
        </w:rPr>
        <w:t>,</w:t>
      </w:r>
      <w:r w:rsidRPr="00A523F4">
        <w:rPr>
          <w:rFonts w:eastAsia="Times New Roman" w:cstheme="minorHAnsi"/>
          <w:color w:val="000000"/>
        </w:rPr>
        <w:t xml:space="preserve"> with grade 9 registering the smallest increase and grade 11 the largest increase.</w:t>
      </w:r>
      <w:r w:rsidR="004245E1">
        <w:rPr>
          <w:rFonts w:eastAsia="Times New Roman" w:cstheme="minorHAnsi"/>
          <w:color w:val="000000"/>
        </w:rPr>
        <w:t xml:space="preserve"> </w:t>
      </w:r>
      <w:r w:rsidRPr="00A523F4">
        <w:rPr>
          <w:rFonts w:eastAsia="Times New Roman" w:cstheme="minorHAnsi"/>
          <w:color w:val="000000"/>
        </w:rPr>
        <w:t>The number of students with disabilities who took a high school math assessment without accommodations also rose sharply for grades 10 through 12 with grade 11 experiencing the greatest incre</w:t>
      </w:r>
      <w:r w:rsidR="0045768E">
        <w:rPr>
          <w:rFonts w:eastAsia="Times New Roman" w:cstheme="minorHAnsi"/>
          <w:color w:val="000000"/>
        </w:rPr>
        <w:t>ase</w:t>
      </w:r>
      <w:r w:rsidRPr="00A523F4">
        <w:rPr>
          <w:rFonts w:eastAsia="Times New Roman" w:cstheme="minorHAnsi"/>
          <w:color w:val="000000"/>
        </w:rPr>
        <w:t xml:space="preserve"> and grade 12 the smallest incre</w:t>
      </w:r>
      <w:r w:rsidR="0045768E">
        <w:rPr>
          <w:rFonts w:eastAsia="Times New Roman" w:cstheme="minorHAnsi"/>
          <w:color w:val="000000"/>
        </w:rPr>
        <w:t>ase</w:t>
      </w:r>
      <w:r w:rsidRPr="00A523F4">
        <w:rPr>
          <w:rFonts w:eastAsia="Times New Roman" w:cstheme="minorHAnsi"/>
          <w:color w:val="000000"/>
        </w:rPr>
        <w:t>. By contrast, the number of students with disabilities who took the regular assessment without accommodations declined in grade 9.</w:t>
      </w:r>
    </w:p>
    <w:p w14:paraId="3AD6AC30" w14:textId="661BEC4E" w:rsidR="00A523F4" w:rsidRPr="00A523F4" w:rsidRDefault="00A523F4" w:rsidP="00A523F4">
      <w:pPr>
        <w:pStyle w:val="ListParagraph"/>
        <w:numPr>
          <w:ilvl w:val="0"/>
          <w:numId w:val="19"/>
        </w:numPr>
        <w:spacing w:line="240" w:lineRule="auto"/>
        <w:rPr>
          <w:rFonts w:eastAsiaTheme="minorEastAsia" w:cstheme="minorHAnsi"/>
        </w:rPr>
      </w:pPr>
      <w:r w:rsidRPr="00A523F4">
        <w:rPr>
          <w:rFonts w:eastAsiaTheme="minorEastAsia" w:cstheme="minorHAnsi"/>
        </w:rPr>
        <w:t xml:space="preserve">In </w:t>
      </w:r>
      <w:r w:rsidR="0045768E">
        <w:rPr>
          <w:rFonts w:eastAsiaTheme="minorEastAsia" w:cstheme="minorHAnsi"/>
        </w:rPr>
        <w:t xml:space="preserve">SY </w:t>
      </w:r>
      <w:r w:rsidRPr="00A523F4">
        <w:rPr>
          <w:rFonts w:eastAsiaTheme="minorEastAsia" w:cstheme="minorHAnsi"/>
        </w:rPr>
        <w:t>2021-22, to align ED</w:t>
      </w:r>
      <w:r w:rsidRPr="002B1F65">
        <w:rPr>
          <w:rFonts w:eastAsiaTheme="minorEastAsia" w:cstheme="minorHAnsi"/>
          <w:i/>
          <w:iCs/>
        </w:rPr>
        <w:t>Facts</w:t>
      </w:r>
      <w:r w:rsidRPr="00A523F4">
        <w:rPr>
          <w:rFonts w:eastAsiaTheme="minorEastAsia" w:cstheme="minorHAnsi"/>
        </w:rPr>
        <w:t xml:space="preserve"> and Report Card reporting, English I and English II were reported for the high school </w:t>
      </w:r>
      <w:r w:rsidR="00D943D8">
        <w:rPr>
          <w:rFonts w:eastAsiaTheme="minorEastAsia" w:cstheme="minorHAnsi"/>
        </w:rPr>
        <w:t>RLA</w:t>
      </w:r>
      <w:r w:rsidRPr="00A523F4">
        <w:rPr>
          <w:rFonts w:eastAsiaTheme="minorEastAsia" w:cstheme="minorHAnsi"/>
        </w:rPr>
        <w:t xml:space="preserve"> assessment. By contrast, in </w:t>
      </w:r>
      <w:r w:rsidR="00D943D8">
        <w:rPr>
          <w:rFonts w:eastAsiaTheme="minorEastAsia" w:cstheme="minorHAnsi"/>
        </w:rPr>
        <w:t xml:space="preserve">SY </w:t>
      </w:r>
      <w:r w:rsidRPr="00A523F4">
        <w:rPr>
          <w:rFonts w:eastAsiaTheme="minorEastAsia" w:cstheme="minorHAnsi"/>
        </w:rPr>
        <w:t>2020-21, only English II was included in ED</w:t>
      </w:r>
      <w:r w:rsidRPr="002B1F65">
        <w:rPr>
          <w:rFonts w:eastAsiaTheme="minorEastAsia" w:cstheme="minorHAnsi"/>
          <w:i/>
          <w:iCs/>
        </w:rPr>
        <w:t>Facts</w:t>
      </w:r>
      <w:r w:rsidRPr="00A523F4">
        <w:rPr>
          <w:rFonts w:eastAsiaTheme="minorEastAsia" w:cstheme="minorHAnsi"/>
        </w:rPr>
        <w:t xml:space="preserve"> high school </w:t>
      </w:r>
      <w:r w:rsidR="003521B6">
        <w:rPr>
          <w:rFonts w:eastAsiaTheme="minorEastAsia" w:cstheme="minorHAnsi"/>
        </w:rPr>
        <w:t>RLA</w:t>
      </w:r>
      <w:r w:rsidR="003521B6" w:rsidRPr="00A523F4">
        <w:rPr>
          <w:rFonts w:eastAsiaTheme="minorEastAsia" w:cstheme="minorHAnsi"/>
        </w:rPr>
        <w:t xml:space="preserve"> </w:t>
      </w:r>
      <w:r w:rsidRPr="00A523F4">
        <w:rPr>
          <w:rFonts w:eastAsiaTheme="minorEastAsia" w:cstheme="minorHAnsi"/>
        </w:rPr>
        <w:t xml:space="preserve">reporting. The impact of the inclusion of English I in high school </w:t>
      </w:r>
      <w:r w:rsidR="003521B6">
        <w:rPr>
          <w:rFonts w:eastAsiaTheme="minorEastAsia" w:cstheme="minorHAnsi"/>
        </w:rPr>
        <w:t>RLA</w:t>
      </w:r>
      <w:r w:rsidR="003521B6" w:rsidRPr="00A523F4">
        <w:rPr>
          <w:rFonts w:eastAsiaTheme="minorEastAsia" w:cstheme="minorHAnsi"/>
        </w:rPr>
        <w:t xml:space="preserve"> </w:t>
      </w:r>
      <w:r w:rsidRPr="00A523F4">
        <w:rPr>
          <w:rFonts w:eastAsiaTheme="minorEastAsia" w:cstheme="minorHAnsi"/>
        </w:rPr>
        <w:t>assessment reporting was greatest on grade 9</w:t>
      </w:r>
      <w:r w:rsidR="003521B6">
        <w:rPr>
          <w:rFonts w:eastAsiaTheme="minorEastAsia" w:cstheme="minorHAnsi"/>
        </w:rPr>
        <w:t>.</w:t>
      </w:r>
      <w:r w:rsidRPr="00A523F4">
        <w:rPr>
          <w:rFonts w:eastAsiaTheme="minorEastAsia" w:cstheme="minorHAnsi"/>
        </w:rPr>
        <w:t xml:space="preserve"> For grade 10, while a higher number </w:t>
      </w:r>
      <w:r w:rsidR="00B70C1D">
        <w:rPr>
          <w:rFonts w:eastAsiaTheme="minorEastAsia" w:cstheme="minorHAnsi"/>
        </w:rPr>
        <w:t xml:space="preserve">of </w:t>
      </w:r>
      <w:r w:rsidRPr="00A523F4">
        <w:rPr>
          <w:rFonts w:eastAsiaTheme="minorEastAsia" w:cstheme="minorHAnsi"/>
        </w:rPr>
        <w:t xml:space="preserve">students with disabilities took a regular </w:t>
      </w:r>
      <w:r w:rsidR="004962BE">
        <w:rPr>
          <w:rFonts w:eastAsiaTheme="minorEastAsia" w:cstheme="minorHAnsi"/>
        </w:rPr>
        <w:t>RLA</w:t>
      </w:r>
      <w:r w:rsidR="004962BE" w:rsidRPr="00A523F4">
        <w:rPr>
          <w:rFonts w:eastAsiaTheme="minorEastAsia" w:cstheme="minorHAnsi"/>
        </w:rPr>
        <w:t xml:space="preserve"> </w:t>
      </w:r>
      <w:r w:rsidRPr="00A523F4">
        <w:rPr>
          <w:rFonts w:eastAsiaTheme="minorEastAsia" w:cstheme="minorHAnsi"/>
        </w:rPr>
        <w:t>assessment with accommodations, a lower number took a regular</w:t>
      </w:r>
      <w:r w:rsidR="00B70C1D">
        <w:rPr>
          <w:rFonts w:eastAsiaTheme="minorEastAsia" w:cstheme="minorHAnsi"/>
        </w:rPr>
        <w:t xml:space="preserve"> RLA</w:t>
      </w:r>
      <w:r w:rsidRPr="00A523F4">
        <w:rPr>
          <w:rFonts w:eastAsiaTheme="minorEastAsia" w:cstheme="minorHAnsi"/>
        </w:rPr>
        <w:t xml:space="preserve"> assessment without accommodations. For grade 11, </w:t>
      </w:r>
      <w:r w:rsidR="0031098F">
        <w:rPr>
          <w:rFonts w:eastAsiaTheme="minorEastAsia" w:cstheme="minorHAnsi"/>
        </w:rPr>
        <w:t>there were increases in both the</w:t>
      </w:r>
      <w:r w:rsidRPr="00A523F4">
        <w:rPr>
          <w:rFonts w:eastAsiaTheme="minorEastAsia" w:cstheme="minorHAnsi"/>
        </w:rPr>
        <w:t xml:space="preserve"> regular </w:t>
      </w:r>
      <w:r w:rsidR="0031098F">
        <w:rPr>
          <w:rFonts w:eastAsiaTheme="minorEastAsia" w:cstheme="minorHAnsi"/>
        </w:rPr>
        <w:t>RLA</w:t>
      </w:r>
      <w:r w:rsidR="0031098F" w:rsidRPr="00A523F4">
        <w:rPr>
          <w:rFonts w:eastAsiaTheme="minorEastAsia" w:cstheme="minorHAnsi"/>
        </w:rPr>
        <w:t xml:space="preserve"> </w:t>
      </w:r>
      <w:r w:rsidRPr="00A523F4">
        <w:rPr>
          <w:rFonts w:eastAsiaTheme="minorEastAsia" w:cstheme="minorHAnsi"/>
        </w:rPr>
        <w:t>assessment with accommodations and regular assessment without accommodations. For grade 12, the additional assessment had a small impact on the number of regular assessments with accommodations but almost no impact on the number of assessments without accommodations.</w:t>
      </w:r>
    </w:p>
    <w:p w14:paraId="38E79443" w14:textId="77777777" w:rsidR="00BF21A2" w:rsidRPr="0099110B" w:rsidRDefault="00BF21A2"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Texas</w:t>
      </w:r>
    </w:p>
    <w:p w14:paraId="1FC9AE81" w14:textId="45AB949C" w:rsidR="00E45A68" w:rsidRDefault="00BF21A2" w:rsidP="00A76244">
      <w:pPr>
        <w:spacing w:after="0" w:line="240" w:lineRule="auto"/>
        <w:rPr>
          <w:rFonts w:eastAsia="Times New Roman"/>
        </w:rPr>
      </w:pPr>
      <w:r w:rsidRPr="0099110B">
        <w:rPr>
          <w:rFonts w:eastAsia="Times New Roman" w:cstheme="minorHAnsi"/>
          <w:color w:val="000000"/>
        </w:rPr>
        <w:t>-</w:t>
      </w:r>
      <w:r w:rsidR="00EE0112">
        <w:rPr>
          <w:rFonts w:eastAsia="Times New Roman" w:cstheme="minorHAnsi"/>
          <w:color w:val="000000"/>
        </w:rPr>
        <w:t xml:space="preserve"> </w:t>
      </w:r>
      <w:r w:rsidR="00CA4A4B" w:rsidRPr="006E0360">
        <w:rPr>
          <w:rFonts w:eastAsia="Times New Roman"/>
        </w:rPr>
        <w:t>The State provided the following response(s) to large Year to Year change(s)</w:t>
      </w:r>
      <w:r w:rsidR="00E45A68">
        <w:rPr>
          <w:rFonts w:eastAsia="Times New Roman"/>
        </w:rPr>
        <w:t>:</w:t>
      </w:r>
    </w:p>
    <w:p w14:paraId="3A622317" w14:textId="7386159A" w:rsidR="00B42341" w:rsidRPr="00E45A68" w:rsidRDefault="00E45A68" w:rsidP="00A76244">
      <w:pPr>
        <w:pStyle w:val="ListParagraph"/>
        <w:numPr>
          <w:ilvl w:val="0"/>
          <w:numId w:val="32"/>
        </w:numPr>
        <w:spacing w:after="0" w:line="240" w:lineRule="auto"/>
        <w:rPr>
          <w:rFonts w:eastAsiaTheme="minorEastAsia" w:cstheme="minorHAnsi"/>
        </w:rPr>
      </w:pPr>
      <w:r w:rsidRPr="00E45A68">
        <w:rPr>
          <w:rFonts w:eastAsia="Times New Roman" w:cstheme="minorHAnsi"/>
          <w:color w:val="000000"/>
        </w:rPr>
        <w:t xml:space="preserve">This year to year difference is expected in the post-Covid years. In </w:t>
      </w:r>
      <w:r w:rsidR="002B39FF">
        <w:rPr>
          <w:rFonts w:eastAsia="Times New Roman" w:cstheme="minorHAnsi"/>
          <w:color w:val="000000"/>
        </w:rPr>
        <w:t xml:space="preserve">SY </w:t>
      </w:r>
      <w:r w:rsidRPr="00E45A68">
        <w:rPr>
          <w:rFonts w:eastAsia="Times New Roman" w:cstheme="minorHAnsi"/>
          <w:color w:val="000000"/>
        </w:rPr>
        <w:t xml:space="preserve">2020-21, immediately after the </w:t>
      </w:r>
      <w:r w:rsidR="006D36A8" w:rsidRPr="00E45A68">
        <w:rPr>
          <w:rFonts w:eastAsia="Times New Roman" w:cstheme="minorHAnsi"/>
          <w:color w:val="000000"/>
        </w:rPr>
        <w:t>C</w:t>
      </w:r>
      <w:r w:rsidR="006D36A8">
        <w:rPr>
          <w:rFonts w:eastAsia="Times New Roman" w:cstheme="minorHAnsi"/>
          <w:color w:val="000000"/>
        </w:rPr>
        <w:t>OVID</w:t>
      </w:r>
      <w:r w:rsidRPr="00E45A68">
        <w:rPr>
          <w:rFonts w:eastAsia="Times New Roman" w:cstheme="minorHAnsi"/>
          <w:color w:val="000000"/>
        </w:rPr>
        <w:t xml:space="preserve">-19 pandemic, we saw relatively low participation in the academic assessment. In </w:t>
      </w:r>
      <w:r w:rsidR="002B39FF">
        <w:rPr>
          <w:rFonts w:eastAsia="Times New Roman" w:cstheme="minorHAnsi"/>
          <w:color w:val="000000"/>
        </w:rPr>
        <w:t xml:space="preserve">SY </w:t>
      </w:r>
      <w:r w:rsidRPr="00E45A68">
        <w:rPr>
          <w:rFonts w:eastAsia="Times New Roman" w:cstheme="minorHAnsi"/>
          <w:color w:val="000000"/>
        </w:rPr>
        <w:t>2021-22, there was an obvious increase in assessment participation</w:t>
      </w:r>
      <w:r w:rsidR="002B39FF">
        <w:rPr>
          <w:rFonts w:eastAsia="Times New Roman" w:cstheme="minorHAnsi"/>
          <w:color w:val="000000"/>
        </w:rPr>
        <w:t xml:space="preserve"> </w:t>
      </w:r>
      <w:r w:rsidRPr="00E45A68">
        <w:rPr>
          <w:rFonts w:eastAsia="Times New Roman" w:cstheme="minorHAnsi"/>
          <w:color w:val="000000"/>
        </w:rPr>
        <w:t>statewide.</w:t>
      </w:r>
    </w:p>
    <w:p w14:paraId="5986DC89" w14:textId="04735007" w:rsidR="00E45A68" w:rsidRDefault="00E45A68" w:rsidP="0010407D">
      <w:pPr>
        <w:pStyle w:val="ListParagraph"/>
        <w:numPr>
          <w:ilvl w:val="0"/>
          <w:numId w:val="32"/>
        </w:numPr>
        <w:spacing w:line="240" w:lineRule="auto"/>
        <w:rPr>
          <w:rFonts w:eastAsiaTheme="minorEastAsia" w:cstheme="minorHAnsi"/>
        </w:rPr>
      </w:pPr>
      <w:r w:rsidRPr="00E45A68">
        <w:rPr>
          <w:rFonts w:eastAsiaTheme="minorEastAsia" w:cstheme="minorHAnsi"/>
        </w:rPr>
        <w:t xml:space="preserve">Similar to the impact to assessment participation by the </w:t>
      </w:r>
      <w:r w:rsidR="006D36A8">
        <w:rPr>
          <w:rFonts w:eastAsiaTheme="minorEastAsia" w:cstheme="minorHAnsi"/>
        </w:rPr>
        <w:t>COVID</w:t>
      </w:r>
      <w:r w:rsidRPr="00E45A68">
        <w:rPr>
          <w:rFonts w:eastAsiaTheme="minorEastAsia" w:cstheme="minorHAnsi"/>
        </w:rPr>
        <w:t>-19 pandemic, proficiency rate</w:t>
      </w:r>
      <w:r w:rsidR="00705EF7">
        <w:rPr>
          <w:rFonts w:eastAsiaTheme="minorEastAsia" w:cstheme="minorHAnsi"/>
        </w:rPr>
        <w:t>s</w:t>
      </w:r>
      <w:r w:rsidRPr="00E45A68">
        <w:rPr>
          <w:rFonts w:eastAsiaTheme="minorEastAsia" w:cstheme="minorHAnsi"/>
        </w:rPr>
        <w:t xml:space="preserve"> </w:t>
      </w:r>
      <w:r w:rsidR="00705EF7" w:rsidRPr="00E45A68">
        <w:rPr>
          <w:rFonts w:eastAsiaTheme="minorEastAsia" w:cstheme="minorHAnsi"/>
        </w:rPr>
        <w:t>w</w:t>
      </w:r>
      <w:r w:rsidR="00705EF7">
        <w:rPr>
          <w:rFonts w:eastAsiaTheme="minorEastAsia" w:cstheme="minorHAnsi"/>
        </w:rPr>
        <w:t>ere</w:t>
      </w:r>
      <w:r w:rsidR="00705EF7" w:rsidRPr="00E45A68">
        <w:rPr>
          <w:rFonts w:eastAsiaTheme="minorEastAsia" w:cstheme="minorHAnsi"/>
        </w:rPr>
        <w:t xml:space="preserve"> </w:t>
      </w:r>
      <w:r w:rsidRPr="00E45A68">
        <w:rPr>
          <w:rFonts w:eastAsiaTheme="minorEastAsia" w:cstheme="minorHAnsi"/>
        </w:rPr>
        <w:t xml:space="preserve">also affected. </w:t>
      </w:r>
      <w:r w:rsidR="00705EF7">
        <w:rPr>
          <w:rFonts w:eastAsiaTheme="minorEastAsia" w:cstheme="minorHAnsi"/>
        </w:rPr>
        <w:t>The s</w:t>
      </w:r>
      <w:r w:rsidRPr="00E45A68">
        <w:rPr>
          <w:rFonts w:eastAsiaTheme="minorEastAsia" w:cstheme="minorHAnsi"/>
        </w:rPr>
        <w:t>econd year into the post</w:t>
      </w:r>
      <w:r w:rsidR="00705EF7">
        <w:rPr>
          <w:rFonts w:eastAsiaTheme="minorEastAsia" w:cstheme="minorHAnsi"/>
        </w:rPr>
        <w:t>-</w:t>
      </w:r>
      <w:r w:rsidRPr="00E45A68">
        <w:rPr>
          <w:rFonts w:eastAsiaTheme="minorEastAsia" w:cstheme="minorHAnsi"/>
        </w:rPr>
        <w:t>C</w:t>
      </w:r>
      <w:r w:rsidR="0010407D">
        <w:rPr>
          <w:rFonts w:eastAsiaTheme="minorEastAsia" w:cstheme="minorHAnsi"/>
        </w:rPr>
        <w:t>OVID</w:t>
      </w:r>
      <w:r w:rsidRPr="00E45A68">
        <w:rPr>
          <w:rFonts w:eastAsiaTheme="minorEastAsia" w:cstheme="minorHAnsi"/>
        </w:rPr>
        <w:t xml:space="preserve"> era, academic performance was seen recovered across the board. For </w:t>
      </w:r>
      <w:r w:rsidR="00F32CB9">
        <w:rPr>
          <w:rFonts w:eastAsiaTheme="minorEastAsia" w:cstheme="minorHAnsi"/>
        </w:rPr>
        <w:t>reading/language arts achievement</w:t>
      </w:r>
      <w:r w:rsidRPr="00E45A68">
        <w:rPr>
          <w:rFonts w:eastAsiaTheme="minorEastAsia" w:cstheme="minorHAnsi"/>
        </w:rPr>
        <w:t xml:space="preserve">, increases in proficiency rates were seen in all grades and assessment types, except for the </w:t>
      </w:r>
      <w:r w:rsidR="00F32CB9">
        <w:rPr>
          <w:rFonts w:eastAsiaTheme="minorEastAsia" w:cstheme="minorHAnsi"/>
        </w:rPr>
        <w:t>a</w:t>
      </w:r>
      <w:r w:rsidRPr="00E45A68">
        <w:rPr>
          <w:rFonts w:eastAsiaTheme="minorEastAsia" w:cstheme="minorHAnsi"/>
        </w:rPr>
        <w:t xml:space="preserve">lternate </w:t>
      </w:r>
      <w:r w:rsidR="00F32CB9">
        <w:rPr>
          <w:rFonts w:eastAsiaTheme="minorEastAsia" w:cstheme="minorHAnsi"/>
        </w:rPr>
        <w:t>a</w:t>
      </w:r>
      <w:r w:rsidRPr="00E45A68">
        <w:rPr>
          <w:rFonts w:eastAsiaTheme="minorEastAsia" w:cstheme="minorHAnsi"/>
        </w:rPr>
        <w:t>ssessment</w:t>
      </w:r>
      <w:r w:rsidR="00F32CB9">
        <w:rPr>
          <w:rFonts w:eastAsiaTheme="minorEastAsia" w:cstheme="minorHAnsi"/>
        </w:rPr>
        <w:t>.</w:t>
      </w:r>
    </w:p>
    <w:p w14:paraId="76849DA0" w14:textId="77777777" w:rsidR="00523E47" w:rsidRPr="0099110B" w:rsidRDefault="00523E4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Vermont</w:t>
      </w:r>
    </w:p>
    <w:p w14:paraId="508545B4" w14:textId="627108ED" w:rsidR="00E45A68" w:rsidRDefault="00E45A68" w:rsidP="00A76244">
      <w:pPr>
        <w:spacing w:after="0" w:line="240" w:lineRule="auto"/>
        <w:rPr>
          <w:rFonts w:eastAsia="Times New Roman"/>
        </w:rPr>
      </w:pPr>
      <w:r w:rsidRPr="0099110B">
        <w:rPr>
          <w:rFonts w:eastAsia="Times New Roman" w:cstheme="minorHAnsi"/>
          <w:color w:val="000000"/>
        </w:rPr>
        <w:t>-</w:t>
      </w:r>
      <w:r>
        <w:rPr>
          <w:rFonts w:eastAsia="Times New Roman" w:cstheme="minorHAnsi"/>
          <w:color w:val="000000"/>
        </w:rPr>
        <w:t xml:space="preserve"> </w:t>
      </w:r>
      <w:r w:rsidRPr="006E0360">
        <w:rPr>
          <w:rFonts w:eastAsia="Times New Roman"/>
        </w:rPr>
        <w:t>The State provided the following response(s) to large Year to Year change(s)</w:t>
      </w:r>
      <w:r>
        <w:rPr>
          <w:rFonts w:eastAsia="Times New Roman"/>
        </w:rPr>
        <w:t>:</w:t>
      </w:r>
    </w:p>
    <w:p w14:paraId="5C221AEB" w14:textId="0514A879" w:rsidR="00DE45E2" w:rsidRPr="00DE45E2" w:rsidRDefault="00E45A68" w:rsidP="00A76244">
      <w:pPr>
        <w:pStyle w:val="ListParagraph"/>
        <w:numPr>
          <w:ilvl w:val="0"/>
          <w:numId w:val="33"/>
        </w:numPr>
        <w:spacing w:line="240" w:lineRule="auto"/>
        <w:rPr>
          <w:rFonts w:eastAsiaTheme="minorEastAsia" w:cstheme="minorHAnsi"/>
        </w:rPr>
      </w:pPr>
      <w:r w:rsidRPr="00E45A68">
        <w:rPr>
          <w:rFonts w:eastAsia="Times New Roman" w:cstheme="minorHAnsi"/>
          <w:color w:val="000000"/>
        </w:rPr>
        <w:t>Performance and participation in state assessments were still affected by the COVID</w:t>
      </w:r>
      <w:r w:rsidR="002B39FF">
        <w:rPr>
          <w:rFonts w:eastAsia="Times New Roman" w:cstheme="minorHAnsi"/>
          <w:color w:val="000000"/>
        </w:rPr>
        <w:t>-19</w:t>
      </w:r>
      <w:r w:rsidRPr="00E45A68">
        <w:rPr>
          <w:rFonts w:eastAsia="Times New Roman" w:cstheme="minorHAnsi"/>
          <w:color w:val="000000"/>
        </w:rPr>
        <w:t xml:space="preserve"> pandemic at the time of testing</w:t>
      </w:r>
      <w:r w:rsidR="008F7085" w:rsidRPr="00E45A68">
        <w:rPr>
          <w:rFonts w:eastAsia="Times New Roman" w:cstheme="minorHAnsi"/>
          <w:color w:val="000000"/>
        </w:rPr>
        <w:t>.</w:t>
      </w:r>
    </w:p>
    <w:p w14:paraId="70B1308F" w14:textId="3ED46D1C" w:rsidR="00E87080" w:rsidRDefault="00E87080" w:rsidP="00A76244">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Virginia</w:t>
      </w:r>
    </w:p>
    <w:p w14:paraId="74053B14" w14:textId="5F6B9788" w:rsidR="00DE45E2" w:rsidRDefault="00DE45E2" w:rsidP="00A76244">
      <w:pPr>
        <w:spacing w:after="0" w:line="240" w:lineRule="auto"/>
        <w:rPr>
          <w:rFonts w:eastAsia="Times New Roman"/>
        </w:rPr>
      </w:pPr>
      <w:r w:rsidRPr="0099110B">
        <w:rPr>
          <w:rFonts w:eastAsia="Times New Roman" w:cstheme="minorHAnsi"/>
          <w:color w:val="000000"/>
        </w:rPr>
        <w:t>-</w:t>
      </w:r>
      <w:r>
        <w:rPr>
          <w:rFonts w:eastAsia="Times New Roman" w:cstheme="minorHAnsi"/>
          <w:color w:val="000000"/>
        </w:rPr>
        <w:t xml:space="preserve"> </w:t>
      </w:r>
      <w:r w:rsidRPr="006E0360">
        <w:rPr>
          <w:rFonts w:eastAsia="Times New Roman"/>
        </w:rPr>
        <w:t>The State provided the following response(s) to large Year to Year change(s)</w:t>
      </w:r>
      <w:r>
        <w:rPr>
          <w:rFonts w:eastAsia="Times New Roman"/>
        </w:rPr>
        <w:t>:</w:t>
      </w:r>
    </w:p>
    <w:p w14:paraId="48DED6EC" w14:textId="60F336BA" w:rsidR="00A87161" w:rsidRDefault="00A87161" w:rsidP="00A87161">
      <w:pPr>
        <w:pStyle w:val="ListParagraph"/>
        <w:numPr>
          <w:ilvl w:val="0"/>
          <w:numId w:val="33"/>
        </w:numPr>
        <w:spacing w:after="0" w:line="240" w:lineRule="auto"/>
        <w:rPr>
          <w:rFonts w:eastAsia="Times New Roman" w:cstheme="minorHAnsi"/>
          <w:color w:val="000000"/>
        </w:rPr>
      </w:pPr>
      <w:r w:rsidRPr="00DE45E2">
        <w:rPr>
          <w:rFonts w:eastAsia="Times New Roman" w:cstheme="minorHAnsi"/>
          <w:color w:val="000000"/>
        </w:rPr>
        <w:t>SY 2020-21: Participation and achi</w:t>
      </w:r>
      <w:r>
        <w:rPr>
          <w:rFonts w:eastAsia="Times New Roman" w:cstheme="minorHAnsi"/>
          <w:color w:val="000000"/>
        </w:rPr>
        <w:t>e</w:t>
      </w:r>
      <w:r w:rsidRPr="00DE45E2">
        <w:rPr>
          <w:rFonts w:eastAsia="Times New Roman" w:cstheme="minorHAnsi"/>
          <w:color w:val="000000"/>
        </w:rPr>
        <w:t>vement rates were lower due to the lingering impacts of COVID</w:t>
      </w:r>
      <w:r>
        <w:rPr>
          <w:rFonts w:eastAsia="Times New Roman" w:cstheme="minorHAnsi"/>
          <w:color w:val="000000"/>
        </w:rPr>
        <w:t>-19</w:t>
      </w:r>
      <w:r w:rsidRPr="00DE45E2">
        <w:rPr>
          <w:rFonts w:eastAsia="Times New Roman" w:cstheme="minorHAnsi"/>
          <w:color w:val="000000"/>
        </w:rPr>
        <w:t>.</w:t>
      </w:r>
    </w:p>
    <w:p w14:paraId="088254A2" w14:textId="6D87741B" w:rsidR="00A87161" w:rsidRDefault="00A87161" w:rsidP="0010407D">
      <w:pPr>
        <w:pStyle w:val="ListParagraph"/>
        <w:numPr>
          <w:ilvl w:val="0"/>
          <w:numId w:val="32"/>
        </w:numPr>
        <w:spacing w:line="240" w:lineRule="auto"/>
        <w:contextualSpacing w:val="0"/>
        <w:rPr>
          <w:rFonts w:eastAsiaTheme="minorEastAsia" w:cstheme="minorHAnsi"/>
        </w:rPr>
      </w:pPr>
      <w:r w:rsidRPr="00A87161">
        <w:t xml:space="preserve">SY 2021-22: For the mathematics alternate assessment based on alternate achievement </w:t>
      </w:r>
      <w:r w:rsidRPr="00A87161">
        <w:rPr>
          <w:rFonts w:eastAsia="Times New Roman" w:cstheme="minorHAnsi"/>
          <w:color w:val="000000"/>
        </w:rPr>
        <w:t>standards</w:t>
      </w:r>
      <w:r w:rsidRPr="00A87161">
        <w:t>, the lower achievement rates are due to a new assessment being administered</w:t>
      </w:r>
      <w:r w:rsidRPr="00A87161">
        <w:rPr>
          <w:rFonts w:eastAsia="Times New Roman" w:cstheme="minorHAnsi"/>
          <w:color w:val="000000"/>
        </w:rPr>
        <w:t>.</w:t>
      </w:r>
    </w:p>
    <w:p w14:paraId="49D3C111" w14:textId="77777777" w:rsidR="009740A7" w:rsidRPr="0099110B" w:rsidRDefault="009740A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Washington</w:t>
      </w:r>
    </w:p>
    <w:p w14:paraId="7544F30C" w14:textId="77777777" w:rsidR="00C004F8" w:rsidRPr="0099110B" w:rsidRDefault="00C004F8" w:rsidP="00C004F8">
      <w:pPr>
        <w:spacing w:after="0" w:line="240" w:lineRule="auto"/>
        <w:rPr>
          <w:rFonts w:eastAsiaTheme="minorEastAsia" w:cstheme="minorHAnsi"/>
        </w:rPr>
      </w:pPr>
      <w:r w:rsidRPr="0099110B">
        <w:rPr>
          <w:rFonts w:cstheme="minorHAnsi"/>
        </w:rPr>
        <w:t>-</w:t>
      </w:r>
      <w:r w:rsidRPr="0099110B">
        <w:rPr>
          <w:rFonts w:eastAsiaTheme="minorEastAsia" w:cstheme="minorHAnsi"/>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7E3A7D8F" w14:textId="48294373" w:rsidR="00C004F8" w:rsidRPr="00C004F8" w:rsidRDefault="00C004F8" w:rsidP="00C004F8">
      <w:pPr>
        <w:pStyle w:val="ListParagraph"/>
        <w:numPr>
          <w:ilvl w:val="0"/>
          <w:numId w:val="33"/>
        </w:numPr>
        <w:spacing w:line="240" w:lineRule="auto"/>
        <w:rPr>
          <w:rFonts w:eastAsiaTheme="minorEastAsia" w:cstheme="minorHAnsi"/>
        </w:rPr>
      </w:pPr>
      <w:r w:rsidRPr="00C004F8">
        <w:rPr>
          <w:rFonts w:eastAsia="Times New Roman" w:cstheme="minorHAnsi"/>
          <w:color w:val="000000"/>
        </w:rPr>
        <w:t xml:space="preserve">The </w:t>
      </w:r>
      <w:r w:rsidR="007E724F">
        <w:rPr>
          <w:rFonts w:eastAsia="Times New Roman" w:cstheme="minorHAnsi"/>
          <w:color w:val="000000"/>
        </w:rPr>
        <w:t>f</w:t>
      </w:r>
      <w:r w:rsidRPr="00C004F8">
        <w:rPr>
          <w:rFonts w:eastAsia="Times New Roman" w:cstheme="minorHAnsi"/>
          <w:color w:val="000000"/>
        </w:rPr>
        <w:t>all 2021</w:t>
      </w:r>
      <w:r w:rsidR="00797196">
        <w:rPr>
          <w:rFonts w:eastAsia="Times New Roman" w:cstheme="minorHAnsi"/>
          <w:color w:val="000000"/>
        </w:rPr>
        <w:t xml:space="preserve"> assessment </w:t>
      </w:r>
      <w:r w:rsidRPr="00C004F8">
        <w:rPr>
          <w:rFonts w:eastAsia="Times New Roman" w:cstheme="minorHAnsi"/>
          <w:color w:val="000000"/>
        </w:rPr>
        <w:t xml:space="preserve">administration postponed from </w:t>
      </w:r>
      <w:r w:rsidR="00797196">
        <w:rPr>
          <w:rFonts w:eastAsia="Times New Roman" w:cstheme="minorHAnsi"/>
          <w:color w:val="000000"/>
        </w:rPr>
        <w:t>s</w:t>
      </w:r>
      <w:r w:rsidRPr="00C004F8">
        <w:rPr>
          <w:rFonts w:eastAsia="Times New Roman" w:cstheme="minorHAnsi"/>
          <w:color w:val="000000"/>
        </w:rPr>
        <w:t xml:space="preserve">pring </w:t>
      </w:r>
      <w:r w:rsidR="00797196">
        <w:rPr>
          <w:rFonts w:eastAsia="Times New Roman" w:cstheme="minorHAnsi"/>
          <w:color w:val="000000"/>
        </w:rPr>
        <w:t>20</w:t>
      </w:r>
      <w:r w:rsidRPr="00C004F8">
        <w:rPr>
          <w:rFonts w:eastAsia="Times New Roman" w:cstheme="minorHAnsi"/>
          <w:color w:val="000000"/>
        </w:rPr>
        <w:t>21 is an outlier with unique participation patterns unlike spring admin</w:t>
      </w:r>
      <w:r w:rsidR="00942AEA">
        <w:rPr>
          <w:rFonts w:eastAsia="Times New Roman" w:cstheme="minorHAnsi"/>
          <w:color w:val="000000"/>
        </w:rPr>
        <w:t>i</w:t>
      </w:r>
      <w:r w:rsidRPr="00C004F8">
        <w:rPr>
          <w:rFonts w:eastAsia="Times New Roman" w:cstheme="minorHAnsi"/>
          <w:color w:val="000000"/>
        </w:rPr>
        <w:t>strations in years not featuring a global pandemic.</w:t>
      </w:r>
    </w:p>
    <w:p w14:paraId="25B02917" w14:textId="77777777" w:rsidR="00D8211D" w:rsidRPr="0099110B" w:rsidRDefault="00D8211D"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West Virginia</w:t>
      </w:r>
    </w:p>
    <w:p w14:paraId="107C8FEA" w14:textId="458DF4E1" w:rsidR="00C82E79" w:rsidRPr="0099110B" w:rsidRDefault="00BF2858" w:rsidP="00FF05BC">
      <w:pPr>
        <w:spacing w:line="240" w:lineRule="auto"/>
        <w:rPr>
          <w:rFonts w:eastAsia="Times New Roman" w:cstheme="minorHAnsi"/>
          <w:color w:val="000000"/>
        </w:rPr>
      </w:pPr>
      <w:r w:rsidRPr="0099110B">
        <w:rPr>
          <w:rFonts w:eastAsiaTheme="minorEastAsia" w:cstheme="minorHAnsi"/>
        </w:rPr>
        <w:t>-</w:t>
      </w:r>
      <w:r w:rsidR="00C82E79" w:rsidRPr="0099110B">
        <w:rPr>
          <w:rFonts w:eastAsia="Times New Roman" w:cstheme="minorHAnsi"/>
          <w:color w:val="000000"/>
        </w:rPr>
        <w:t xml:space="preserve"> </w:t>
      </w:r>
      <w:r w:rsidR="00D47DA0" w:rsidRPr="00D47DA0">
        <w:rPr>
          <w:rFonts w:eastAsia="Times New Roman" w:cstheme="minorHAnsi"/>
          <w:color w:val="000000"/>
        </w:rPr>
        <w:t>The students are required to take the E</w:t>
      </w:r>
      <w:r w:rsidR="0061772E">
        <w:rPr>
          <w:rFonts w:eastAsia="Times New Roman" w:cstheme="minorHAnsi"/>
          <w:color w:val="000000"/>
        </w:rPr>
        <w:t xml:space="preserve">nglish </w:t>
      </w:r>
      <w:r w:rsidR="00D47DA0" w:rsidRPr="00D47DA0">
        <w:rPr>
          <w:rFonts w:eastAsia="Times New Roman" w:cstheme="minorHAnsi"/>
          <w:color w:val="000000"/>
        </w:rPr>
        <w:t>L</w:t>
      </w:r>
      <w:r w:rsidR="0061772E">
        <w:rPr>
          <w:rFonts w:eastAsia="Times New Roman" w:cstheme="minorHAnsi"/>
          <w:color w:val="000000"/>
        </w:rPr>
        <w:t xml:space="preserve">anguage </w:t>
      </w:r>
      <w:r w:rsidR="00D47DA0" w:rsidRPr="00D47DA0">
        <w:rPr>
          <w:rFonts w:eastAsia="Times New Roman" w:cstheme="minorHAnsi"/>
          <w:color w:val="000000"/>
        </w:rPr>
        <w:t>P</w:t>
      </w:r>
      <w:r w:rsidR="0061772E">
        <w:rPr>
          <w:rFonts w:eastAsia="Times New Roman" w:cstheme="minorHAnsi"/>
          <w:color w:val="000000"/>
        </w:rPr>
        <w:t>roficiency (ELP)</w:t>
      </w:r>
      <w:r w:rsidR="00D47DA0" w:rsidRPr="00D47DA0">
        <w:rPr>
          <w:rFonts w:eastAsia="Times New Roman" w:cstheme="minorHAnsi"/>
          <w:color w:val="000000"/>
        </w:rPr>
        <w:t xml:space="preserve"> assessment annually</w:t>
      </w:r>
      <w:r w:rsidR="00942AEA">
        <w:rPr>
          <w:rFonts w:eastAsia="Times New Roman" w:cstheme="minorHAnsi"/>
          <w:color w:val="000000"/>
        </w:rPr>
        <w:t>;</w:t>
      </w:r>
      <w:r w:rsidR="004245E1">
        <w:rPr>
          <w:rFonts w:eastAsia="Times New Roman" w:cstheme="minorHAnsi"/>
          <w:color w:val="000000"/>
        </w:rPr>
        <w:t xml:space="preserve"> </w:t>
      </w:r>
      <w:r w:rsidR="00942AEA">
        <w:rPr>
          <w:rFonts w:eastAsia="Times New Roman" w:cstheme="minorHAnsi"/>
          <w:color w:val="000000"/>
        </w:rPr>
        <w:t>h</w:t>
      </w:r>
      <w:r w:rsidR="00D47DA0" w:rsidRPr="00D47DA0">
        <w:rPr>
          <w:rFonts w:eastAsia="Times New Roman" w:cstheme="minorHAnsi"/>
          <w:color w:val="000000"/>
        </w:rPr>
        <w:t>owever, it does not currently count for their regular reading/language arts assessment or an alternative assessment</w:t>
      </w:r>
      <w:r w:rsidR="00C82E79" w:rsidRPr="0099110B">
        <w:rPr>
          <w:rFonts w:eastAsia="Times New Roman" w:cstheme="minorHAnsi"/>
          <w:color w:val="000000"/>
        </w:rPr>
        <w:t>.</w:t>
      </w:r>
    </w:p>
    <w:p w14:paraId="1352F4DE" w14:textId="04AC8CBC" w:rsidR="00BF2858" w:rsidRPr="0099110B" w:rsidRDefault="00C82E79" w:rsidP="00FF05BC">
      <w:pPr>
        <w:spacing w:after="0" w:line="240" w:lineRule="auto"/>
        <w:rPr>
          <w:rFonts w:eastAsiaTheme="minorEastAsia" w:cstheme="minorHAnsi"/>
        </w:rPr>
      </w:pPr>
      <w:r w:rsidRPr="0099110B">
        <w:rPr>
          <w:rFonts w:cstheme="minorHAnsi"/>
        </w:rPr>
        <w:t>-</w:t>
      </w:r>
      <w:r w:rsidRPr="0099110B">
        <w:rPr>
          <w:rFonts w:eastAsiaTheme="minorEastAsia" w:cstheme="minorHAnsi"/>
        </w:rPr>
        <w:t xml:space="preserve"> </w:t>
      </w:r>
      <w:r w:rsidR="00CA4A4B" w:rsidRPr="006E0360">
        <w:rPr>
          <w:rFonts w:eastAsia="Times New Roman"/>
        </w:rPr>
        <w:t>The State provided the following response(s) to large Year to Year change(s)</w:t>
      </w:r>
      <w:r w:rsidRPr="0099110B">
        <w:rPr>
          <w:rFonts w:eastAsiaTheme="minorEastAsia" w:cstheme="minorHAnsi"/>
        </w:rPr>
        <w:t>:</w:t>
      </w:r>
    </w:p>
    <w:p w14:paraId="6BD794C7" w14:textId="77777777" w:rsidR="003824B2" w:rsidRDefault="00D47DA0" w:rsidP="00D47DA0">
      <w:pPr>
        <w:pStyle w:val="ListParagraph"/>
        <w:numPr>
          <w:ilvl w:val="0"/>
          <w:numId w:val="12"/>
        </w:numPr>
        <w:spacing w:line="240" w:lineRule="auto"/>
        <w:rPr>
          <w:rFonts w:eastAsia="Times New Roman" w:cstheme="minorHAnsi"/>
          <w:color w:val="000000"/>
        </w:rPr>
      </w:pPr>
      <w:r w:rsidRPr="00D47DA0">
        <w:rPr>
          <w:rFonts w:eastAsia="Times New Roman" w:cstheme="minorHAnsi"/>
          <w:color w:val="000000"/>
        </w:rPr>
        <w:t>Upgrades and changes to the state information system</w:t>
      </w:r>
      <w:r w:rsidR="00942AEA">
        <w:rPr>
          <w:rFonts w:eastAsia="Times New Roman" w:cstheme="minorHAnsi"/>
          <w:color w:val="000000"/>
        </w:rPr>
        <w:t>,</w:t>
      </w:r>
      <w:r w:rsidRPr="00D47DA0">
        <w:rPr>
          <w:rFonts w:eastAsia="Times New Roman" w:cstheme="minorHAnsi"/>
          <w:color w:val="000000"/>
        </w:rPr>
        <w:t xml:space="preserve"> along with changes and improvements to the method of monitoring and recording accommodations</w:t>
      </w:r>
      <w:r w:rsidR="00942AEA">
        <w:rPr>
          <w:rFonts w:eastAsia="Times New Roman" w:cstheme="minorHAnsi"/>
          <w:color w:val="000000"/>
        </w:rPr>
        <w:t>,</w:t>
      </w:r>
      <w:r w:rsidRPr="00D47DA0">
        <w:rPr>
          <w:rFonts w:eastAsia="Times New Roman" w:cstheme="minorHAnsi"/>
          <w:color w:val="000000"/>
        </w:rPr>
        <w:t xml:space="preserve"> resulted in an increase in the true number of valid results for students with disabilities</w:t>
      </w:r>
      <w:r w:rsidR="0061772E">
        <w:rPr>
          <w:rFonts w:eastAsia="Times New Roman" w:cstheme="minorHAnsi"/>
          <w:color w:val="000000"/>
        </w:rPr>
        <w:t>.</w:t>
      </w:r>
    </w:p>
    <w:p w14:paraId="59EF0269" w14:textId="4C9FA45B" w:rsidR="00D47DA0" w:rsidRPr="0099110B" w:rsidRDefault="00D47DA0" w:rsidP="00D47DA0">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Wisconsin</w:t>
      </w:r>
    </w:p>
    <w:p w14:paraId="75E55478" w14:textId="5E8722D8" w:rsidR="00D47DA0" w:rsidRPr="0099110B" w:rsidRDefault="00D47DA0" w:rsidP="00D47DA0">
      <w:pPr>
        <w:spacing w:after="0" w:line="240" w:lineRule="auto"/>
        <w:rPr>
          <w:rFonts w:eastAsiaTheme="minorEastAsia" w:cstheme="minorHAnsi"/>
        </w:rPr>
      </w:pPr>
      <w:r w:rsidRPr="0099110B">
        <w:rPr>
          <w:rFonts w:cstheme="minorHAnsi"/>
        </w:rPr>
        <w:t>-</w:t>
      </w:r>
      <w:r w:rsidRPr="0099110B">
        <w:rPr>
          <w:rFonts w:eastAsiaTheme="minorEastAsia" w:cstheme="minorHAnsi"/>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4A953C51" w14:textId="4205A0AB" w:rsidR="0081444E" w:rsidRPr="001E15FE" w:rsidRDefault="00D47DA0" w:rsidP="00992C3B">
      <w:pPr>
        <w:pStyle w:val="ListParagraph"/>
        <w:numPr>
          <w:ilvl w:val="0"/>
          <w:numId w:val="34"/>
        </w:numPr>
        <w:spacing w:line="240" w:lineRule="auto"/>
        <w:rPr>
          <w:rFonts w:eastAsia="Times New Roman"/>
        </w:rPr>
      </w:pPr>
      <w:r w:rsidRPr="00992C3B">
        <w:t xml:space="preserve">Wisconsin saw participation rates increase generally from </w:t>
      </w:r>
      <w:r w:rsidR="00992C3B">
        <w:t xml:space="preserve">SY </w:t>
      </w:r>
      <w:r w:rsidRPr="00992C3B">
        <w:t xml:space="preserve">2020-21 to </w:t>
      </w:r>
      <w:r w:rsidR="00992C3B">
        <w:t xml:space="preserve">SY </w:t>
      </w:r>
      <w:r w:rsidRPr="00992C3B">
        <w:t>2021-22 as LEAs continue to adjust after interruptions caused by the pandemic.</w:t>
      </w:r>
    </w:p>
    <w:p w14:paraId="406D5CE4" w14:textId="3589096A" w:rsidR="00D47DA0" w:rsidRPr="0099110B" w:rsidRDefault="00D47DA0" w:rsidP="00D47DA0">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Wyoming</w:t>
      </w:r>
    </w:p>
    <w:p w14:paraId="470F0EA5" w14:textId="77777777" w:rsidR="001D375D" w:rsidRPr="0099110B" w:rsidRDefault="001D375D" w:rsidP="001D375D">
      <w:pPr>
        <w:spacing w:after="0" w:line="240" w:lineRule="auto"/>
        <w:rPr>
          <w:rFonts w:eastAsiaTheme="minorEastAsia" w:cstheme="minorHAnsi"/>
        </w:rPr>
      </w:pPr>
      <w:r w:rsidRPr="0099110B">
        <w:rPr>
          <w:rFonts w:cstheme="minorHAnsi"/>
        </w:rPr>
        <w:t>-</w:t>
      </w:r>
      <w:r w:rsidRPr="0099110B">
        <w:rPr>
          <w:rFonts w:eastAsiaTheme="minorEastAsia" w:cstheme="minorHAnsi"/>
        </w:rPr>
        <w:t xml:space="preserve"> </w:t>
      </w:r>
      <w:r w:rsidRPr="006E0360">
        <w:rPr>
          <w:rFonts w:eastAsia="Times New Roman"/>
        </w:rPr>
        <w:t>The State provided the following response(s) to large Year to Year change(s)</w:t>
      </w:r>
      <w:r w:rsidRPr="0099110B">
        <w:rPr>
          <w:rFonts w:eastAsiaTheme="minorEastAsia" w:cstheme="minorHAnsi"/>
        </w:rPr>
        <w:t>:</w:t>
      </w:r>
    </w:p>
    <w:p w14:paraId="340F0CDE" w14:textId="0A3C6739" w:rsidR="00D47DA0" w:rsidRPr="001D375D" w:rsidRDefault="001D375D" w:rsidP="001D375D">
      <w:pPr>
        <w:pStyle w:val="ListParagraph"/>
        <w:numPr>
          <w:ilvl w:val="0"/>
          <w:numId w:val="35"/>
        </w:numPr>
        <w:spacing w:line="240" w:lineRule="auto"/>
        <w:rPr>
          <w:rFonts w:eastAsiaTheme="minorEastAsia" w:cstheme="minorHAnsi"/>
        </w:rPr>
      </w:pPr>
      <w:r w:rsidRPr="001D375D">
        <w:rPr>
          <w:rFonts w:eastAsia="Times New Roman" w:cstheme="minorHAnsi"/>
          <w:color w:val="000000"/>
        </w:rPr>
        <w:t>In Wyoming</w:t>
      </w:r>
      <w:r w:rsidR="00942AEA">
        <w:rPr>
          <w:rFonts w:eastAsia="Times New Roman" w:cstheme="minorHAnsi"/>
          <w:color w:val="000000"/>
        </w:rPr>
        <w:t>,</w:t>
      </w:r>
      <w:r w:rsidRPr="001D375D">
        <w:rPr>
          <w:rFonts w:eastAsia="Times New Roman" w:cstheme="minorHAnsi"/>
          <w:color w:val="000000"/>
        </w:rPr>
        <w:t xml:space="preserve"> the counts are small enough that normal </w:t>
      </w:r>
      <w:r w:rsidR="0081444E" w:rsidRPr="001D375D">
        <w:rPr>
          <w:rFonts w:eastAsia="Times New Roman" w:cstheme="minorHAnsi"/>
          <w:color w:val="000000"/>
        </w:rPr>
        <w:t>fluctuation</w:t>
      </w:r>
      <w:r w:rsidRPr="001D375D">
        <w:rPr>
          <w:rFonts w:eastAsia="Times New Roman" w:cstheme="minorHAnsi"/>
          <w:color w:val="000000"/>
        </w:rPr>
        <w:t xml:space="preserve"> causes a </w:t>
      </w:r>
      <w:r w:rsidR="0081444E">
        <w:rPr>
          <w:rFonts w:eastAsia="Times New Roman" w:cstheme="minorHAnsi"/>
          <w:color w:val="000000"/>
        </w:rPr>
        <w:t xml:space="preserve">large </w:t>
      </w:r>
      <w:r w:rsidRPr="001D375D">
        <w:rPr>
          <w:rFonts w:eastAsia="Times New Roman" w:cstheme="minorHAnsi"/>
          <w:color w:val="000000"/>
        </w:rPr>
        <w:t>change</w:t>
      </w:r>
      <w:r w:rsidR="0081444E">
        <w:rPr>
          <w:rFonts w:eastAsia="Times New Roman" w:cstheme="minorHAnsi"/>
          <w:color w:val="000000"/>
        </w:rPr>
        <w:t>.</w:t>
      </w:r>
    </w:p>
    <w:sectPr w:rsidR="00D47DA0" w:rsidRPr="001D375D" w:rsidSect="000C65B9">
      <w:footerReference w:type="default" r:id="rId13"/>
      <w:pgSz w:w="12240" w:h="15840"/>
      <w:pgMar w:top="1440" w:right="1440" w:bottom="1440" w:left="1440"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E762" w14:textId="77777777" w:rsidR="00DD7D43" w:rsidRDefault="00DD7D43" w:rsidP="003436C5">
      <w:pPr>
        <w:spacing w:after="0" w:line="240" w:lineRule="auto"/>
      </w:pPr>
      <w:r>
        <w:separator/>
      </w:r>
    </w:p>
  </w:endnote>
  <w:endnote w:type="continuationSeparator" w:id="0">
    <w:p w14:paraId="168F44F2" w14:textId="77777777" w:rsidR="00DD7D43" w:rsidRDefault="00DD7D43" w:rsidP="003436C5">
      <w:pPr>
        <w:spacing w:after="0" w:line="240" w:lineRule="auto"/>
      </w:pPr>
      <w:r>
        <w:continuationSeparator/>
      </w:r>
    </w:p>
  </w:endnote>
  <w:endnote w:type="continuationNotice" w:id="1">
    <w:p w14:paraId="77BBBE73" w14:textId="77777777" w:rsidR="00DD7D43" w:rsidRDefault="00DD7D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787623"/>
      <w:docPartObj>
        <w:docPartGallery w:val="Page Numbers (Bottom of Page)"/>
        <w:docPartUnique/>
      </w:docPartObj>
    </w:sdtPr>
    <w:sdtEndPr>
      <w:rPr>
        <w:noProof/>
      </w:rPr>
    </w:sdtEndPr>
    <w:sdtContent>
      <w:p w14:paraId="054C66FB" w14:textId="489B8E34" w:rsidR="00377170" w:rsidRDefault="0037717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61B72" w14:textId="77777777" w:rsidR="00DD7D43" w:rsidRDefault="00DD7D43" w:rsidP="003436C5">
      <w:pPr>
        <w:spacing w:after="0" w:line="240" w:lineRule="auto"/>
      </w:pPr>
      <w:r>
        <w:separator/>
      </w:r>
    </w:p>
  </w:footnote>
  <w:footnote w:type="continuationSeparator" w:id="0">
    <w:p w14:paraId="0D47795B" w14:textId="77777777" w:rsidR="00DD7D43" w:rsidRDefault="00DD7D43" w:rsidP="003436C5">
      <w:pPr>
        <w:spacing w:after="0" w:line="240" w:lineRule="auto"/>
      </w:pPr>
      <w:r>
        <w:continuationSeparator/>
      </w:r>
    </w:p>
  </w:footnote>
  <w:footnote w:type="continuationNotice" w:id="1">
    <w:p w14:paraId="53B32668" w14:textId="77777777" w:rsidR="00DD7D43" w:rsidRDefault="00DD7D4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6BFA"/>
    <w:multiLevelType w:val="hybridMultilevel"/>
    <w:tmpl w:val="C25A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818D3"/>
    <w:multiLevelType w:val="hybridMultilevel"/>
    <w:tmpl w:val="16A8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642F4"/>
    <w:multiLevelType w:val="hybridMultilevel"/>
    <w:tmpl w:val="9E2A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465B7"/>
    <w:multiLevelType w:val="hybridMultilevel"/>
    <w:tmpl w:val="ECC61278"/>
    <w:lvl w:ilvl="0" w:tplc="04090001">
      <w:start w:val="1"/>
      <w:numFmt w:val="bullet"/>
      <w:lvlText w:val=""/>
      <w:lvlJc w:val="left"/>
      <w:pPr>
        <w:ind w:left="615" w:hanging="360"/>
      </w:pPr>
      <w:rPr>
        <w:rFonts w:ascii="Symbol" w:hAnsi="Symbol"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4" w15:restartNumberingAfterBreak="0">
    <w:nsid w:val="0CBF27AF"/>
    <w:multiLevelType w:val="hybridMultilevel"/>
    <w:tmpl w:val="54CEF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04AFE"/>
    <w:multiLevelType w:val="hybridMultilevel"/>
    <w:tmpl w:val="89142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35B53"/>
    <w:multiLevelType w:val="hybridMultilevel"/>
    <w:tmpl w:val="FD9025D6"/>
    <w:lvl w:ilvl="0" w:tplc="15FEFF68">
      <w:numFmt w:val="bullet"/>
      <w:lvlText w:val="-"/>
      <w:lvlJc w:val="left"/>
      <w:pPr>
        <w:ind w:left="410" w:hanging="360"/>
      </w:pPr>
      <w:rPr>
        <w:rFonts w:ascii="Calibri" w:eastAsiaTheme="minorEastAsia"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7" w15:restartNumberingAfterBreak="0">
    <w:nsid w:val="14DC7F3E"/>
    <w:multiLevelType w:val="hybridMultilevel"/>
    <w:tmpl w:val="7354C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2081C"/>
    <w:multiLevelType w:val="hybridMultilevel"/>
    <w:tmpl w:val="83C6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A5917"/>
    <w:multiLevelType w:val="hybridMultilevel"/>
    <w:tmpl w:val="00E46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47FC7"/>
    <w:multiLevelType w:val="hybridMultilevel"/>
    <w:tmpl w:val="8C5C2878"/>
    <w:lvl w:ilvl="0" w:tplc="FD7620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62CD5"/>
    <w:multiLevelType w:val="hybridMultilevel"/>
    <w:tmpl w:val="E454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66F50"/>
    <w:multiLevelType w:val="hybridMultilevel"/>
    <w:tmpl w:val="15B8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16C50"/>
    <w:multiLevelType w:val="hybridMultilevel"/>
    <w:tmpl w:val="48FEB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15D18"/>
    <w:multiLevelType w:val="hybridMultilevel"/>
    <w:tmpl w:val="169CA2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3A91DC4"/>
    <w:multiLevelType w:val="hybridMultilevel"/>
    <w:tmpl w:val="43A0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425D9"/>
    <w:multiLevelType w:val="hybridMultilevel"/>
    <w:tmpl w:val="63C8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4D66"/>
    <w:multiLevelType w:val="hybridMultilevel"/>
    <w:tmpl w:val="DF042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14C1C"/>
    <w:multiLevelType w:val="hybridMultilevel"/>
    <w:tmpl w:val="F12A7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7E7610"/>
    <w:multiLevelType w:val="hybridMultilevel"/>
    <w:tmpl w:val="421A5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0D2E8D"/>
    <w:multiLevelType w:val="hybridMultilevel"/>
    <w:tmpl w:val="47A01282"/>
    <w:lvl w:ilvl="0" w:tplc="FD7620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936383"/>
    <w:multiLevelType w:val="hybridMultilevel"/>
    <w:tmpl w:val="CEF0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024C1E"/>
    <w:multiLevelType w:val="hybridMultilevel"/>
    <w:tmpl w:val="A2E6F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381983"/>
    <w:multiLevelType w:val="hybridMultilevel"/>
    <w:tmpl w:val="24B0BE92"/>
    <w:lvl w:ilvl="0" w:tplc="E5E4E7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915DDC"/>
    <w:multiLevelType w:val="hybridMultilevel"/>
    <w:tmpl w:val="EFC4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2A3177"/>
    <w:multiLevelType w:val="hybridMultilevel"/>
    <w:tmpl w:val="1D1E6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133801"/>
    <w:multiLevelType w:val="hybridMultilevel"/>
    <w:tmpl w:val="6A2C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A3497C"/>
    <w:multiLevelType w:val="hybridMultilevel"/>
    <w:tmpl w:val="D2582A24"/>
    <w:lvl w:ilvl="0" w:tplc="64D6CFA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37E8F"/>
    <w:multiLevelType w:val="hybridMultilevel"/>
    <w:tmpl w:val="185C0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34792D"/>
    <w:multiLevelType w:val="hybridMultilevel"/>
    <w:tmpl w:val="E74C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3F1E2E"/>
    <w:multiLevelType w:val="hybridMultilevel"/>
    <w:tmpl w:val="0C464434"/>
    <w:lvl w:ilvl="0" w:tplc="FD7620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046FF3"/>
    <w:multiLevelType w:val="hybridMultilevel"/>
    <w:tmpl w:val="2028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30DF2"/>
    <w:multiLevelType w:val="hybridMultilevel"/>
    <w:tmpl w:val="E15E81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A9069AA"/>
    <w:multiLevelType w:val="hybridMultilevel"/>
    <w:tmpl w:val="B880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BD5617"/>
    <w:multiLevelType w:val="hybridMultilevel"/>
    <w:tmpl w:val="7E4A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50CCD"/>
    <w:multiLevelType w:val="hybridMultilevel"/>
    <w:tmpl w:val="9C70ECBC"/>
    <w:lvl w:ilvl="0" w:tplc="FD76206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F6D7228"/>
    <w:multiLevelType w:val="hybridMultilevel"/>
    <w:tmpl w:val="76AE4FF0"/>
    <w:lvl w:ilvl="0" w:tplc="FD7620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3E37ED"/>
    <w:multiLevelType w:val="hybridMultilevel"/>
    <w:tmpl w:val="D3FE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3F5BBD"/>
    <w:multiLevelType w:val="hybridMultilevel"/>
    <w:tmpl w:val="E8966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9D0C79"/>
    <w:multiLevelType w:val="hybridMultilevel"/>
    <w:tmpl w:val="2682AC30"/>
    <w:lvl w:ilvl="0" w:tplc="FD762064">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754A7049"/>
    <w:multiLevelType w:val="hybridMultilevel"/>
    <w:tmpl w:val="F94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44338"/>
    <w:multiLevelType w:val="hybridMultilevel"/>
    <w:tmpl w:val="901A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AB39D4"/>
    <w:multiLevelType w:val="hybridMultilevel"/>
    <w:tmpl w:val="7D2A2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7278F2"/>
    <w:multiLevelType w:val="hybridMultilevel"/>
    <w:tmpl w:val="642C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C023C7"/>
    <w:multiLevelType w:val="hybridMultilevel"/>
    <w:tmpl w:val="908A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477ADB"/>
    <w:multiLevelType w:val="hybridMultilevel"/>
    <w:tmpl w:val="CAA4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C04D1F"/>
    <w:multiLevelType w:val="hybridMultilevel"/>
    <w:tmpl w:val="D7D6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004B02"/>
    <w:multiLevelType w:val="hybridMultilevel"/>
    <w:tmpl w:val="DC34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0738400">
    <w:abstractNumId w:val="41"/>
  </w:num>
  <w:num w:numId="2" w16cid:durableId="88309289">
    <w:abstractNumId w:val="18"/>
  </w:num>
  <w:num w:numId="3" w16cid:durableId="1651209577">
    <w:abstractNumId w:val="12"/>
  </w:num>
  <w:num w:numId="4" w16cid:durableId="1493595495">
    <w:abstractNumId w:val="43"/>
  </w:num>
  <w:num w:numId="5" w16cid:durableId="1404331702">
    <w:abstractNumId w:val="32"/>
  </w:num>
  <w:num w:numId="6" w16cid:durableId="1842890102">
    <w:abstractNumId w:val="14"/>
  </w:num>
  <w:num w:numId="7" w16cid:durableId="735477321">
    <w:abstractNumId w:val="24"/>
  </w:num>
  <w:num w:numId="8" w16cid:durableId="1059980287">
    <w:abstractNumId w:val="47"/>
  </w:num>
  <w:num w:numId="9" w16cid:durableId="1977295155">
    <w:abstractNumId w:val="7"/>
  </w:num>
  <w:num w:numId="10" w16cid:durableId="206382093">
    <w:abstractNumId w:val="34"/>
  </w:num>
  <w:num w:numId="11" w16cid:durableId="1867058564">
    <w:abstractNumId w:val="25"/>
  </w:num>
  <w:num w:numId="12" w16cid:durableId="625090180">
    <w:abstractNumId w:val="17"/>
  </w:num>
  <w:num w:numId="13" w16cid:durableId="799150210">
    <w:abstractNumId w:val="11"/>
  </w:num>
  <w:num w:numId="14" w16cid:durableId="2132547614">
    <w:abstractNumId w:val="40"/>
  </w:num>
  <w:num w:numId="15" w16cid:durableId="254215916">
    <w:abstractNumId w:val="46"/>
  </w:num>
  <w:num w:numId="16" w16cid:durableId="1345547541">
    <w:abstractNumId w:val="0"/>
  </w:num>
  <w:num w:numId="17" w16cid:durableId="574826079">
    <w:abstractNumId w:val="13"/>
  </w:num>
  <w:num w:numId="18" w16cid:durableId="1508205014">
    <w:abstractNumId w:val="27"/>
  </w:num>
  <w:num w:numId="19" w16cid:durableId="741831411">
    <w:abstractNumId w:val="22"/>
  </w:num>
  <w:num w:numId="20" w16cid:durableId="1008218339">
    <w:abstractNumId w:val="29"/>
  </w:num>
  <w:num w:numId="21" w16cid:durableId="2068334511">
    <w:abstractNumId w:val="26"/>
  </w:num>
  <w:num w:numId="22" w16cid:durableId="66656979">
    <w:abstractNumId w:val="21"/>
  </w:num>
  <w:num w:numId="23" w16cid:durableId="1434088310">
    <w:abstractNumId w:val="15"/>
  </w:num>
  <w:num w:numId="24" w16cid:durableId="1308970726">
    <w:abstractNumId w:val="5"/>
  </w:num>
  <w:num w:numId="25" w16cid:durableId="1627001124">
    <w:abstractNumId w:val="16"/>
  </w:num>
  <w:num w:numId="26" w16cid:durableId="1759714076">
    <w:abstractNumId w:val="19"/>
  </w:num>
  <w:num w:numId="27" w16cid:durableId="190262548">
    <w:abstractNumId w:val="8"/>
  </w:num>
  <w:num w:numId="28" w16cid:durableId="1724796085">
    <w:abstractNumId w:val="45"/>
  </w:num>
  <w:num w:numId="29" w16cid:durableId="1357270941">
    <w:abstractNumId w:val="42"/>
  </w:num>
  <w:num w:numId="30" w16cid:durableId="309404467">
    <w:abstractNumId w:val="3"/>
  </w:num>
  <w:num w:numId="31" w16cid:durableId="1707831660">
    <w:abstractNumId w:val="4"/>
  </w:num>
  <w:num w:numId="32" w16cid:durableId="1910727311">
    <w:abstractNumId w:val="28"/>
  </w:num>
  <w:num w:numId="33" w16cid:durableId="2074696626">
    <w:abstractNumId w:val="44"/>
  </w:num>
  <w:num w:numId="34" w16cid:durableId="1326517418">
    <w:abstractNumId w:val="9"/>
  </w:num>
  <w:num w:numId="35" w16cid:durableId="281036073">
    <w:abstractNumId w:val="2"/>
  </w:num>
  <w:num w:numId="36" w16cid:durableId="1607302588">
    <w:abstractNumId w:val="38"/>
  </w:num>
  <w:num w:numId="37" w16cid:durableId="1997878351">
    <w:abstractNumId w:val="1"/>
  </w:num>
  <w:num w:numId="38" w16cid:durableId="1851528191">
    <w:abstractNumId w:val="31"/>
  </w:num>
  <w:num w:numId="39" w16cid:durableId="1535313065">
    <w:abstractNumId w:val="37"/>
  </w:num>
  <w:num w:numId="40" w16cid:durableId="247809741">
    <w:abstractNumId w:val="33"/>
  </w:num>
  <w:num w:numId="41" w16cid:durableId="2077707538">
    <w:abstractNumId w:val="30"/>
  </w:num>
  <w:num w:numId="42" w16cid:durableId="67584293">
    <w:abstractNumId w:val="23"/>
  </w:num>
  <w:num w:numId="43" w16cid:durableId="789200412">
    <w:abstractNumId w:val="35"/>
  </w:num>
  <w:num w:numId="44" w16cid:durableId="2061316785">
    <w:abstractNumId w:val="36"/>
  </w:num>
  <w:num w:numId="45" w16cid:durableId="1755737979">
    <w:abstractNumId w:val="6"/>
  </w:num>
  <w:num w:numId="46" w16cid:durableId="711535665">
    <w:abstractNumId w:val="39"/>
  </w:num>
  <w:num w:numId="47" w16cid:durableId="1107579533">
    <w:abstractNumId w:val="10"/>
  </w:num>
  <w:num w:numId="48" w16cid:durableId="1749378756">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96"/>
    <w:rsid w:val="000004F6"/>
    <w:rsid w:val="00000E65"/>
    <w:rsid w:val="00001953"/>
    <w:rsid w:val="00003140"/>
    <w:rsid w:val="00004883"/>
    <w:rsid w:val="00004A72"/>
    <w:rsid w:val="00004D94"/>
    <w:rsid w:val="000054E3"/>
    <w:rsid w:val="00006AF2"/>
    <w:rsid w:val="00010A9F"/>
    <w:rsid w:val="00013C8F"/>
    <w:rsid w:val="000143FA"/>
    <w:rsid w:val="0002402B"/>
    <w:rsid w:val="00025B70"/>
    <w:rsid w:val="000277A6"/>
    <w:rsid w:val="000278F4"/>
    <w:rsid w:val="000309CE"/>
    <w:rsid w:val="00030DFE"/>
    <w:rsid w:val="00032204"/>
    <w:rsid w:val="00032473"/>
    <w:rsid w:val="000347EF"/>
    <w:rsid w:val="00035B70"/>
    <w:rsid w:val="000376A9"/>
    <w:rsid w:val="000425F3"/>
    <w:rsid w:val="00042C01"/>
    <w:rsid w:val="00043171"/>
    <w:rsid w:val="00044322"/>
    <w:rsid w:val="00045D31"/>
    <w:rsid w:val="00051C56"/>
    <w:rsid w:val="00053EEC"/>
    <w:rsid w:val="000553E0"/>
    <w:rsid w:val="00055AF0"/>
    <w:rsid w:val="00055B34"/>
    <w:rsid w:val="00056485"/>
    <w:rsid w:val="000579DB"/>
    <w:rsid w:val="000614F9"/>
    <w:rsid w:val="000616BD"/>
    <w:rsid w:val="00061C8E"/>
    <w:rsid w:val="000633C3"/>
    <w:rsid w:val="00067365"/>
    <w:rsid w:val="00067889"/>
    <w:rsid w:val="00067FDB"/>
    <w:rsid w:val="00070BA3"/>
    <w:rsid w:val="000719C4"/>
    <w:rsid w:val="0007221E"/>
    <w:rsid w:val="000751FE"/>
    <w:rsid w:val="00075514"/>
    <w:rsid w:val="00075D39"/>
    <w:rsid w:val="00080520"/>
    <w:rsid w:val="00084BD6"/>
    <w:rsid w:val="000863ED"/>
    <w:rsid w:val="0008661F"/>
    <w:rsid w:val="00086F5A"/>
    <w:rsid w:val="00090D8B"/>
    <w:rsid w:val="00091093"/>
    <w:rsid w:val="00091E65"/>
    <w:rsid w:val="00091FD1"/>
    <w:rsid w:val="0009268D"/>
    <w:rsid w:val="000A175B"/>
    <w:rsid w:val="000A2717"/>
    <w:rsid w:val="000A3794"/>
    <w:rsid w:val="000A43DD"/>
    <w:rsid w:val="000A71CA"/>
    <w:rsid w:val="000B166D"/>
    <w:rsid w:val="000B1D97"/>
    <w:rsid w:val="000B4C42"/>
    <w:rsid w:val="000C42FD"/>
    <w:rsid w:val="000C591F"/>
    <w:rsid w:val="000C5972"/>
    <w:rsid w:val="000C5FA0"/>
    <w:rsid w:val="000C65B9"/>
    <w:rsid w:val="000C66B2"/>
    <w:rsid w:val="000C7A79"/>
    <w:rsid w:val="000D0545"/>
    <w:rsid w:val="000D129C"/>
    <w:rsid w:val="000D14EC"/>
    <w:rsid w:val="000D79F0"/>
    <w:rsid w:val="000E0571"/>
    <w:rsid w:val="000E34ED"/>
    <w:rsid w:val="000E5EC7"/>
    <w:rsid w:val="000E64AB"/>
    <w:rsid w:val="000E7581"/>
    <w:rsid w:val="000F08F9"/>
    <w:rsid w:val="000F129C"/>
    <w:rsid w:val="000F3496"/>
    <w:rsid w:val="000F5277"/>
    <w:rsid w:val="000F5B49"/>
    <w:rsid w:val="000F72CA"/>
    <w:rsid w:val="00100094"/>
    <w:rsid w:val="001002FC"/>
    <w:rsid w:val="001017BF"/>
    <w:rsid w:val="0010222D"/>
    <w:rsid w:val="0010407D"/>
    <w:rsid w:val="00105973"/>
    <w:rsid w:val="00105D7B"/>
    <w:rsid w:val="00106310"/>
    <w:rsid w:val="00110060"/>
    <w:rsid w:val="00110211"/>
    <w:rsid w:val="00112014"/>
    <w:rsid w:val="00112435"/>
    <w:rsid w:val="0011316B"/>
    <w:rsid w:val="001133F6"/>
    <w:rsid w:val="0011353B"/>
    <w:rsid w:val="00114232"/>
    <w:rsid w:val="001148A3"/>
    <w:rsid w:val="0011498E"/>
    <w:rsid w:val="00115491"/>
    <w:rsid w:val="001160BF"/>
    <w:rsid w:val="001165FB"/>
    <w:rsid w:val="00120FA7"/>
    <w:rsid w:val="001236DD"/>
    <w:rsid w:val="00124890"/>
    <w:rsid w:val="0012511B"/>
    <w:rsid w:val="00127E93"/>
    <w:rsid w:val="0013284A"/>
    <w:rsid w:val="00133BC5"/>
    <w:rsid w:val="001340A4"/>
    <w:rsid w:val="001357E9"/>
    <w:rsid w:val="00135935"/>
    <w:rsid w:val="001363CA"/>
    <w:rsid w:val="001364A6"/>
    <w:rsid w:val="00136670"/>
    <w:rsid w:val="00141589"/>
    <w:rsid w:val="00142B9F"/>
    <w:rsid w:val="00142FDD"/>
    <w:rsid w:val="001438E9"/>
    <w:rsid w:val="00144E11"/>
    <w:rsid w:val="001477C4"/>
    <w:rsid w:val="00150ACF"/>
    <w:rsid w:val="00150E85"/>
    <w:rsid w:val="001517C0"/>
    <w:rsid w:val="00152D15"/>
    <w:rsid w:val="00153FC8"/>
    <w:rsid w:val="00156168"/>
    <w:rsid w:val="0015663A"/>
    <w:rsid w:val="00157438"/>
    <w:rsid w:val="00157FF9"/>
    <w:rsid w:val="0016251D"/>
    <w:rsid w:val="0016471C"/>
    <w:rsid w:val="00165320"/>
    <w:rsid w:val="00166705"/>
    <w:rsid w:val="001667F9"/>
    <w:rsid w:val="001672B7"/>
    <w:rsid w:val="001718A5"/>
    <w:rsid w:val="0017471F"/>
    <w:rsid w:val="00175335"/>
    <w:rsid w:val="00175BD8"/>
    <w:rsid w:val="0017710C"/>
    <w:rsid w:val="00183836"/>
    <w:rsid w:val="00191CA3"/>
    <w:rsid w:val="00192510"/>
    <w:rsid w:val="001957B4"/>
    <w:rsid w:val="00196D75"/>
    <w:rsid w:val="001A1489"/>
    <w:rsid w:val="001A1C24"/>
    <w:rsid w:val="001A675A"/>
    <w:rsid w:val="001A7182"/>
    <w:rsid w:val="001A733C"/>
    <w:rsid w:val="001B00F2"/>
    <w:rsid w:val="001B035F"/>
    <w:rsid w:val="001B0E6C"/>
    <w:rsid w:val="001B21B6"/>
    <w:rsid w:val="001B2A1B"/>
    <w:rsid w:val="001B68F1"/>
    <w:rsid w:val="001C012F"/>
    <w:rsid w:val="001C1F52"/>
    <w:rsid w:val="001C2952"/>
    <w:rsid w:val="001C4446"/>
    <w:rsid w:val="001C76DD"/>
    <w:rsid w:val="001D1C07"/>
    <w:rsid w:val="001D23E0"/>
    <w:rsid w:val="001D375D"/>
    <w:rsid w:val="001E15FE"/>
    <w:rsid w:val="001E3AB0"/>
    <w:rsid w:val="001E44AD"/>
    <w:rsid w:val="001E6733"/>
    <w:rsid w:val="001E7807"/>
    <w:rsid w:val="001F0EC1"/>
    <w:rsid w:val="001F15E2"/>
    <w:rsid w:val="001F37BE"/>
    <w:rsid w:val="001F4D6B"/>
    <w:rsid w:val="001F5BF1"/>
    <w:rsid w:val="001F5EA4"/>
    <w:rsid w:val="001F5ED3"/>
    <w:rsid w:val="00203482"/>
    <w:rsid w:val="00206085"/>
    <w:rsid w:val="002061F2"/>
    <w:rsid w:val="002063C0"/>
    <w:rsid w:val="00206E8F"/>
    <w:rsid w:val="002075DA"/>
    <w:rsid w:val="00207A1A"/>
    <w:rsid w:val="00207ED9"/>
    <w:rsid w:val="002125E5"/>
    <w:rsid w:val="00213190"/>
    <w:rsid w:val="002168E2"/>
    <w:rsid w:val="00216BF4"/>
    <w:rsid w:val="002206FA"/>
    <w:rsid w:val="00221492"/>
    <w:rsid w:val="00222F0E"/>
    <w:rsid w:val="00223615"/>
    <w:rsid w:val="002249D6"/>
    <w:rsid w:val="00227229"/>
    <w:rsid w:val="00230388"/>
    <w:rsid w:val="002305BF"/>
    <w:rsid w:val="00231CBC"/>
    <w:rsid w:val="002327D3"/>
    <w:rsid w:val="002328DA"/>
    <w:rsid w:val="002331AB"/>
    <w:rsid w:val="00233EF0"/>
    <w:rsid w:val="00234CC0"/>
    <w:rsid w:val="002355CD"/>
    <w:rsid w:val="00237269"/>
    <w:rsid w:val="00237BD0"/>
    <w:rsid w:val="00241188"/>
    <w:rsid w:val="002417C3"/>
    <w:rsid w:val="00242761"/>
    <w:rsid w:val="002435D6"/>
    <w:rsid w:val="002440BD"/>
    <w:rsid w:val="00244BF1"/>
    <w:rsid w:val="00247034"/>
    <w:rsid w:val="00250355"/>
    <w:rsid w:val="00253D44"/>
    <w:rsid w:val="00256A18"/>
    <w:rsid w:val="00257578"/>
    <w:rsid w:val="0026042D"/>
    <w:rsid w:val="0026317E"/>
    <w:rsid w:val="0026436B"/>
    <w:rsid w:val="00267591"/>
    <w:rsid w:val="0026776C"/>
    <w:rsid w:val="00271422"/>
    <w:rsid w:val="0027186D"/>
    <w:rsid w:val="00271E3A"/>
    <w:rsid w:val="002731D6"/>
    <w:rsid w:val="00275237"/>
    <w:rsid w:val="002752AB"/>
    <w:rsid w:val="002754CB"/>
    <w:rsid w:val="00277BAE"/>
    <w:rsid w:val="0028098E"/>
    <w:rsid w:val="0028108D"/>
    <w:rsid w:val="00282269"/>
    <w:rsid w:val="00282FEA"/>
    <w:rsid w:val="00283329"/>
    <w:rsid w:val="00284C29"/>
    <w:rsid w:val="002904AB"/>
    <w:rsid w:val="00290C08"/>
    <w:rsid w:val="00291B31"/>
    <w:rsid w:val="00291D0B"/>
    <w:rsid w:val="0029298A"/>
    <w:rsid w:val="0029403D"/>
    <w:rsid w:val="0029420E"/>
    <w:rsid w:val="002950D9"/>
    <w:rsid w:val="002975F9"/>
    <w:rsid w:val="002979C2"/>
    <w:rsid w:val="002A04A9"/>
    <w:rsid w:val="002A2BC2"/>
    <w:rsid w:val="002A2C9E"/>
    <w:rsid w:val="002A3E1E"/>
    <w:rsid w:val="002A516F"/>
    <w:rsid w:val="002A54B3"/>
    <w:rsid w:val="002A7470"/>
    <w:rsid w:val="002A7B15"/>
    <w:rsid w:val="002B1EA8"/>
    <w:rsid w:val="002B1F65"/>
    <w:rsid w:val="002B303A"/>
    <w:rsid w:val="002B32AE"/>
    <w:rsid w:val="002B39FF"/>
    <w:rsid w:val="002B41A3"/>
    <w:rsid w:val="002B4475"/>
    <w:rsid w:val="002B479B"/>
    <w:rsid w:val="002B65AA"/>
    <w:rsid w:val="002B6690"/>
    <w:rsid w:val="002B6E64"/>
    <w:rsid w:val="002C03F6"/>
    <w:rsid w:val="002C0E51"/>
    <w:rsid w:val="002C34AD"/>
    <w:rsid w:val="002C5192"/>
    <w:rsid w:val="002C5EFA"/>
    <w:rsid w:val="002D2E1D"/>
    <w:rsid w:val="002D6532"/>
    <w:rsid w:val="002E027F"/>
    <w:rsid w:val="002E06C2"/>
    <w:rsid w:val="002E3EBF"/>
    <w:rsid w:val="002E5A42"/>
    <w:rsid w:val="002E75AD"/>
    <w:rsid w:val="002E7D30"/>
    <w:rsid w:val="002F0546"/>
    <w:rsid w:val="002F3473"/>
    <w:rsid w:val="002F3B6F"/>
    <w:rsid w:val="002F6CD0"/>
    <w:rsid w:val="00300514"/>
    <w:rsid w:val="00301BFD"/>
    <w:rsid w:val="003027C2"/>
    <w:rsid w:val="00302D79"/>
    <w:rsid w:val="00303577"/>
    <w:rsid w:val="00310506"/>
    <w:rsid w:val="0031098F"/>
    <w:rsid w:val="00310E9C"/>
    <w:rsid w:val="00311CD7"/>
    <w:rsid w:val="00312303"/>
    <w:rsid w:val="00312CDF"/>
    <w:rsid w:val="00312D64"/>
    <w:rsid w:val="003210F2"/>
    <w:rsid w:val="003218C1"/>
    <w:rsid w:val="003229C3"/>
    <w:rsid w:val="00323A93"/>
    <w:rsid w:val="0032620D"/>
    <w:rsid w:val="00326641"/>
    <w:rsid w:val="00327177"/>
    <w:rsid w:val="00330A66"/>
    <w:rsid w:val="003311E1"/>
    <w:rsid w:val="00331379"/>
    <w:rsid w:val="003313D0"/>
    <w:rsid w:val="00332449"/>
    <w:rsid w:val="003341AA"/>
    <w:rsid w:val="00335210"/>
    <w:rsid w:val="00335221"/>
    <w:rsid w:val="0033778A"/>
    <w:rsid w:val="003430DD"/>
    <w:rsid w:val="003436C5"/>
    <w:rsid w:val="00343E51"/>
    <w:rsid w:val="00344342"/>
    <w:rsid w:val="00345633"/>
    <w:rsid w:val="003477AB"/>
    <w:rsid w:val="00347DFA"/>
    <w:rsid w:val="003502C7"/>
    <w:rsid w:val="00351324"/>
    <w:rsid w:val="003521B6"/>
    <w:rsid w:val="00356C09"/>
    <w:rsid w:val="003611C0"/>
    <w:rsid w:val="0036132A"/>
    <w:rsid w:val="00365918"/>
    <w:rsid w:val="00367298"/>
    <w:rsid w:val="00367F54"/>
    <w:rsid w:val="00370AC1"/>
    <w:rsid w:val="00370E69"/>
    <w:rsid w:val="003725B7"/>
    <w:rsid w:val="0037317E"/>
    <w:rsid w:val="00374D0D"/>
    <w:rsid w:val="0037625C"/>
    <w:rsid w:val="00376555"/>
    <w:rsid w:val="00377170"/>
    <w:rsid w:val="00377415"/>
    <w:rsid w:val="003824B2"/>
    <w:rsid w:val="003831A7"/>
    <w:rsid w:val="00383265"/>
    <w:rsid w:val="00384311"/>
    <w:rsid w:val="00384EAB"/>
    <w:rsid w:val="00385CED"/>
    <w:rsid w:val="003869D5"/>
    <w:rsid w:val="00386DC5"/>
    <w:rsid w:val="00387FAF"/>
    <w:rsid w:val="003918E4"/>
    <w:rsid w:val="00392EE5"/>
    <w:rsid w:val="00392FDC"/>
    <w:rsid w:val="00393894"/>
    <w:rsid w:val="00393CE0"/>
    <w:rsid w:val="003954AF"/>
    <w:rsid w:val="003A1577"/>
    <w:rsid w:val="003A2BFD"/>
    <w:rsid w:val="003A4AD6"/>
    <w:rsid w:val="003A548D"/>
    <w:rsid w:val="003A5621"/>
    <w:rsid w:val="003A6440"/>
    <w:rsid w:val="003A7CCE"/>
    <w:rsid w:val="003B0E0C"/>
    <w:rsid w:val="003B36B9"/>
    <w:rsid w:val="003B61FD"/>
    <w:rsid w:val="003C028C"/>
    <w:rsid w:val="003C0325"/>
    <w:rsid w:val="003C0F72"/>
    <w:rsid w:val="003C28D7"/>
    <w:rsid w:val="003C4372"/>
    <w:rsid w:val="003C4E0D"/>
    <w:rsid w:val="003D0652"/>
    <w:rsid w:val="003D0677"/>
    <w:rsid w:val="003D08A9"/>
    <w:rsid w:val="003D1473"/>
    <w:rsid w:val="003D5A8A"/>
    <w:rsid w:val="003D6169"/>
    <w:rsid w:val="003D72B7"/>
    <w:rsid w:val="003E0241"/>
    <w:rsid w:val="003E03CE"/>
    <w:rsid w:val="003E0D4D"/>
    <w:rsid w:val="003E243A"/>
    <w:rsid w:val="003E48EB"/>
    <w:rsid w:val="003E4B08"/>
    <w:rsid w:val="003E5C2F"/>
    <w:rsid w:val="003E6004"/>
    <w:rsid w:val="003E7AF3"/>
    <w:rsid w:val="003F283F"/>
    <w:rsid w:val="003F78E8"/>
    <w:rsid w:val="004017BF"/>
    <w:rsid w:val="00402704"/>
    <w:rsid w:val="00404A57"/>
    <w:rsid w:val="004061EF"/>
    <w:rsid w:val="0040682B"/>
    <w:rsid w:val="00410899"/>
    <w:rsid w:val="00410B03"/>
    <w:rsid w:val="004136EA"/>
    <w:rsid w:val="00414541"/>
    <w:rsid w:val="00414DBC"/>
    <w:rsid w:val="004151A3"/>
    <w:rsid w:val="00420E4F"/>
    <w:rsid w:val="00420E82"/>
    <w:rsid w:val="00421F1C"/>
    <w:rsid w:val="004245E1"/>
    <w:rsid w:val="00425BC7"/>
    <w:rsid w:val="00425C25"/>
    <w:rsid w:val="004312DB"/>
    <w:rsid w:val="0043195F"/>
    <w:rsid w:val="00432264"/>
    <w:rsid w:val="00433BBA"/>
    <w:rsid w:val="00433D10"/>
    <w:rsid w:val="00435380"/>
    <w:rsid w:val="00435DBF"/>
    <w:rsid w:val="00436650"/>
    <w:rsid w:val="0043674E"/>
    <w:rsid w:val="0043721C"/>
    <w:rsid w:val="00442A43"/>
    <w:rsid w:val="00442F21"/>
    <w:rsid w:val="004438F9"/>
    <w:rsid w:val="00444E15"/>
    <w:rsid w:val="00444F43"/>
    <w:rsid w:val="00445DB1"/>
    <w:rsid w:val="004475FC"/>
    <w:rsid w:val="00447F46"/>
    <w:rsid w:val="00450368"/>
    <w:rsid w:val="0045124E"/>
    <w:rsid w:val="0045215D"/>
    <w:rsid w:val="00452753"/>
    <w:rsid w:val="00455125"/>
    <w:rsid w:val="0045768E"/>
    <w:rsid w:val="0045793E"/>
    <w:rsid w:val="004625AC"/>
    <w:rsid w:val="004633B5"/>
    <w:rsid w:val="00466CF2"/>
    <w:rsid w:val="00467F72"/>
    <w:rsid w:val="0047496E"/>
    <w:rsid w:val="00474B4F"/>
    <w:rsid w:val="00475CA0"/>
    <w:rsid w:val="00475CAD"/>
    <w:rsid w:val="00477300"/>
    <w:rsid w:val="004817D9"/>
    <w:rsid w:val="00486C4A"/>
    <w:rsid w:val="00491D7B"/>
    <w:rsid w:val="004923B7"/>
    <w:rsid w:val="00492B71"/>
    <w:rsid w:val="00493F1D"/>
    <w:rsid w:val="00494AE0"/>
    <w:rsid w:val="004962BE"/>
    <w:rsid w:val="0049732F"/>
    <w:rsid w:val="00497B52"/>
    <w:rsid w:val="004A0E8F"/>
    <w:rsid w:val="004A0F6D"/>
    <w:rsid w:val="004A19E4"/>
    <w:rsid w:val="004A1E01"/>
    <w:rsid w:val="004A23E9"/>
    <w:rsid w:val="004A5293"/>
    <w:rsid w:val="004B18CA"/>
    <w:rsid w:val="004B24B0"/>
    <w:rsid w:val="004B26A7"/>
    <w:rsid w:val="004B2F98"/>
    <w:rsid w:val="004B46EC"/>
    <w:rsid w:val="004B4EBC"/>
    <w:rsid w:val="004B5457"/>
    <w:rsid w:val="004B67AD"/>
    <w:rsid w:val="004B6ECB"/>
    <w:rsid w:val="004B727C"/>
    <w:rsid w:val="004B7DDE"/>
    <w:rsid w:val="004B7EC9"/>
    <w:rsid w:val="004C1393"/>
    <w:rsid w:val="004C1A3B"/>
    <w:rsid w:val="004C41A1"/>
    <w:rsid w:val="004C591D"/>
    <w:rsid w:val="004D23B6"/>
    <w:rsid w:val="004E302A"/>
    <w:rsid w:val="004E4A2F"/>
    <w:rsid w:val="004E5B09"/>
    <w:rsid w:val="004E5E37"/>
    <w:rsid w:val="004E7661"/>
    <w:rsid w:val="004F0851"/>
    <w:rsid w:val="004F21CD"/>
    <w:rsid w:val="004F5466"/>
    <w:rsid w:val="004F5F7C"/>
    <w:rsid w:val="004F641F"/>
    <w:rsid w:val="0050047F"/>
    <w:rsid w:val="00504D5B"/>
    <w:rsid w:val="005050BC"/>
    <w:rsid w:val="00505EE6"/>
    <w:rsid w:val="00507056"/>
    <w:rsid w:val="005128A8"/>
    <w:rsid w:val="00515FC7"/>
    <w:rsid w:val="00516D35"/>
    <w:rsid w:val="00517E89"/>
    <w:rsid w:val="005208C8"/>
    <w:rsid w:val="005232BC"/>
    <w:rsid w:val="00523944"/>
    <w:rsid w:val="00523E47"/>
    <w:rsid w:val="00524E72"/>
    <w:rsid w:val="005262F8"/>
    <w:rsid w:val="00526619"/>
    <w:rsid w:val="00527D70"/>
    <w:rsid w:val="0053092B"/>
    <w:rsid w:val="005333C6"/>
    <w:rsid w:val="00535701"/>
    <w:rsid w:val="00540762"/>
    <w:rsid w:val="00542AA9"/>
    <w:rsid w:val="00543F58"/>
    <w:rsid w:val="00546B6F"/>
    <w:rsid w:val="005470DB"/>
    <w:rsid w:val="005475D5"/>
    <w:rsid w:val="0054789B"/>
    <w:rsid w:val="005506EC"/>
    <w:rsid w:val="00554157"/>
    <w:rsid w:val="005551BF"/>
    <w:rsid w:val="005564BD"/>
    <w:rsid w:val="00556F3B"/>
    <w:rsid w:val="00557B65"/>
    <w:rsid w:val="00557CA6"/>
    <w:rsid w:val="0057599B"/>
    <w:rsid w:val="0057660E"/>
    <w:rsid w:val="00576D0D"/>
    <w:rsid w:val="00576E1F"/>
    <w:rsid w:val="00581F30"/>
    <w:rsid w:val="00582667"/>
    <w:rsid w:val="00582E32"/>
    <w:rsid w:val="005842A5"/>
    <w:rsid w:val="0058669A"/>
    <w:rsid w:val="00586D31"/>
    <w:rsid w:val="005877CD"/>
    <w:rsid w:val="00587AA8"/>
    <w:rsid w:val="00587BB5"/>
    <w:rsid w:val="00590C32"/>
    <w:rsid w:val="00590CB0"/>
    <w:rsid w:val="005918FC"/>
    <w:rsid w:val="00591B29"/>
    <w:rsid w:val="00592E44"/>
    <w:rsid w:val="00594880"/>
    <w:rsid w:val="0059573B"/>
    <w:rsid w:val="00595E2C"/>
    <w:rsid w:val="005967F0"/>
    <w:rsid w:val="005A0FD2"/>
    <w:rsid w:val="005A1B88"/>
    <w:rsid w:val="005A2198"/>
    <w:rsid w:val="005A23D5"/>
    <w:rsid w:val="005A32AA"/>
    <w:rsid w:val="005A4D98"/>
    <w:rsid w:val="005A5557"/>
    <w:rsid w:val="005A6D62"/>
    <w:rsid w:val="005B0572"/>
    <w:rsid w:val="005B131C"/>
    <w:rsid w:val="005B236B"/>
    <w:rsid w:val="005B2E05"/>
    <w:rsid w:val="005B3E5C"/>
    <w:rsid w:val="005C01D2"/>
    <w:rsid w:val="005C3E11"/>
    <w:rsid w:val="005C71AB"/>
    <w:rsid w:val="005C7484"/>
    <w:rsid w:val="005C7B2F"/>
    <w:rsid w:val="005C7C1B"/>
    <w:rsid w:val="005D08F6"/>
    <w:rsid w:val="005D0EE6"/>
    <w:rsid w:val="005D1FCC"/>
    <w:rsid w:val="005D207C"/>
    <w:rsid w:val="005D2FC9"/>
    <w:rsid w:val="005D334A"/>
    <w:rsid w:val="005D35C7"/>
    <w:rsid w:val="005D41B2"/>
    <w:rsid w:val="005D4C28"/>
    <w:rsid w:val="005D757D"/>
    <w:rsid w:val="005D7EC9"/>
    <w:rsid w:val="005E0CE2"/>
    <w:rsid w:val="005E126C"/>
    <w:rsid w:val="005E17E9"/>
    <w:rsid w:val="005E1AC3"/>
    <w:rsid w:val="005E3A55"/>
    <w:rsid w:val="005E4954"/>
    <w:rsid w:val="005E6279"/>
    <w:rsid w:val="005E66F0"/>
    <w:rsid w:val="005E7A05"/>
    <w:rsid w:val="005F0623"/>
    <w:rsid w:val="005F092A"/>
    <w:rsid w:val="005F374B"/>
    <w:rsid w:val="005F4D39"/>
    <w:rsid w:val="005F5562"/>
    <w:rsid w:val="005F6401"/>
    <w:rsid w:val="005F70D3"/>
    <w:rsid w:val="005F7C4F"/>
    <w:rsid w:val="00600161"/>
    <w:rsid w:val="00600703"/>
    <w:rsid w:val="00600D5C"/>
    <w:rsid w:val="0060259B"/>
    <w:rsid w:val="006025D5"/>
    <w:rsid w:val="00604D03"/>
    <w:rsid w:val="00605138"/>
    <w:rsid w:val="00610BA2"/>
    <w:rsid w:val="00611F9F"/>
    <w:rsid w:val="0061573D"/>
    <w:rsid w:val="006176FF"/>
    <w:rsid w:val="0061772E"/>
    <w:rsid w:val="006208DA"/>
    <w:rsid w:val="00620DAF"/>
    <w:rsid w:val="00625B74"/>
    <w:rsid w:val="00627BCE"/>
    <w:rsid w:val="00630811"/>
    <w:rsid w:val="00631679"/>
    <w:rsid w:val="00631BC7"/>
    <w:rsid w:val="0063266C"/>
    <w:rsid w:val="00632675"/>
    <w:rsid w:val="00632D75"/>
    <w:rsid w:val="00634973"/>
    <w:rsid w:val="006362B0"/>
    <w:rsid w:val="00637580"/>
    <w:rsid w:val="00640D41"/>
    <w:rsid w:val="00641031"/>
    <w:rsid w:val="00644848"/>
    <w:rsid w:val="00644B67"/>
    <w:rsid w:val="00644CDC"/>
    <w:rsid w:val="0065166E"/>
    <w:rsid w:val="006526C5"/>
    <w:rsid w:val="00653C49"/>
    <w:rsid w:val="00654D51"/>
    <w:rsid w:val="0065798F"/>
    <w:rsid w:val="00660006"/>
    <w:rsid w:val="00660176"/>
    <w:rsid w:val="006601E0"/>
    <w:rsid w:val="00662DF4"/>
    <w:rsid w:val="0066378E"/>
    <w:rsid w:val="006663C6"/>
    <w:rsid w:val="006703AD"/>
    <w:rsid w:val="00670A3D"/>
    <w:rsid w:val="00673393"/>
    <w:rsid w:val="006738D3"/>
    <w:rsid w:val="00674CF5"/>
    <w:rsid w:val="00675982"/>
    <w:rsid w:val="0068000C"/>
    <w:rsid w:val="006805C7"/>
    <w:rsid w:val="00681483"/>
    <w:rsid w:val="006814CC"/>
    <w:rsid w:val="00681874"/>
    <w:rsid w:val="00683510"/>
    <w:rsid w:val="00684D7E"/>
    <w:rsid w:val="006852E5"/>
    <w:rsid w:val="006853DD"/>
    <w:rsid w:val="00685619"/>
    <w:rsid w:val="006857D0"/>
    <w:rsid w:val="00685EC1"/>
    <w:rsid w:val="00686C40"/>
    <w:rsid w:val="006875A6"/>
    <w:rsid w:val="00691886"/>
    <w:rsid w:val="00692B45"/>
    <w:rsid w:val="006943DC"/>
    <w:rsid w:val="00696558"/>
    <w:rsid w:val="00696C1C"/>
    <w:rsid w:val="00697C43"/>
    <w:rsid w:val="006A142B"/>
    <w:rsid w:val="006A2604"/>
    <w:rsid w:val="006A4211"/>
    <w:rsid w:val="006A4E54"/>
    <w:rsid w:val="006A680B"/>
    <w:rsid w:val="006A75BE"/>
    <w:rsid w:val="006B1F4D"/>
    <w:rsid w:val="006B2825"/>
    <w:rsid w:val="006B419A"/>
    <w:rsid w:val="006B419D"/>
    <w:rsid w:val="006B4AAB"/>
    <w:rsid w:val="006B5AB1"/>
    <w:rsid w:val="006B6959"/>
    <w:rsid w:val="006B6D57"/>
    <w:rsid w:val="006C19D1"/>
    <w:rsid w:val="006C3FAD"/>
    <w:rsid w:val="006C412E"/>
    <w:rsid w:val="006C7A91"/>
    <w:rsid w:val="006C7D0D"/>
    <w:rsid w:val="006D36A8"/>
    <w:rsid w:val="006D60AE"/>
    <w:rsid w:val="006E0360"/>
    <w:rsid w:val="006E1ABA"/>
    <w:rsid w:val="006E29D8"/>
    <w:rsid w:val="006E5DBB"/>
    <w:rsid w:val="006E79CD"/>
    <w:rsid w:val="006F140F"/>
    <w:rsid w:val="006F318C"/>
    <w:rsid w:val="006F3D31"/>
    <w:rsid w:val="006F61C9"/>
    <w:rsid w:val="006F6F07"/>
    <w:rsid w:val="006F707F"/>
    <w:rsid w:val="006F7A5A"/>
    <w:rsid w:val="007027D6"/>
    <w:rsid w:val="007045F8"/>
    <w:rsid w:val="00705EF7"/>
    <w:rsid w:val="00706FC8"/>
    <w:rsid w:val="007168B2"/>
    <w:rsid w:val="007219F1"/>
    <w:rsid w:val="0072270C"/>
    <w:rsid w:val="007228F9"/>
    <w:rsid w:val="00722928"/>
    <w:rsid w:val="0072309B"/>
    <w:rsid w:val="00723564"/>
    <w:rsid w:val="00725F6E"/>
    <w:rsid w:val="0072797E"/>
    <w:rsid w:val="00727ADF"/>
    <w:rsid w:val="00730A00"/>
    <w:rsid w:val="00736BCE"/>
    <w:rsid w:val="00737A34"/>
    <w:rsid w:val="007404A6"/>
    <w:rsid w:val="00740514"/>
    <w:rsid w:val="00741F8F"/>
    <w:rsid w:val="00747325"/>
    <w:rsid w:val="00750377"/>
    <w:rsid w:val="0075223A"/>
    <w:rsid w:val="00754DCC"/>
    <w:rsid w:val="007563AB"/>
    <w:rsid w:val="007577E3"/>
    <w:rsid w:val="00760158"/>
    <w:rsid w:val="00763979"/>
    <w:rsid w:val="00763BAA"/>
    <w:rsid w:val="00764DCF"/>
    <w:rsid w:val="00765382"/>
    <w:rsid w:val="00765A10"/>
    <w:rsid w:val="00765B69"/>
    <w:rsid w:val="00765E68"/>
    <w:rsid w:val="00766ED5"/>
    <w:rsid w:val="00767340"/>
    <w:rsid w:val="00767B1B"/>
    <w:rsid w:val="00770058"/>
    <w:rsid w:val="00770947"/>
    <w:rsid w:val="00770D04"/>
    <w:rsid w:val="00770E5F"/>
    <w:rsid w:val="0077152D"/>
    <w:rsid w:val="0077614A"/>
    <w:rsid w:val="0077684E"/>
    <w:rsid w:val="00777479"/>
    <w:rsid w:val="00782844"/>
    <w:rsid w:val="00783F56"/>
    <w:rsid w:val="00786171"/>
    <w:rsid w:val="00787731"/>
    <w:rsid w:val="00787E8B"/>
    <w:rsid w:val="007914AC"/>
    <w:rsid w:val="00791C81"/>
    <w:rsid w:val="00792596"/>
    <w:rsid w:val="0079329F"/>
    <w:rsid w:val="00796499"/>
    <w:rsid w:val="007966D4"/>
    <w:rsid w:val="00797196"/>
    <w:rsid w:val="00797285"/>
    <w:rsid w:val="00797524"/>
    <w:rsid w:val="00797F83"/>
    <w:rsid w:val="007A043E"/>
    <w:rsid w:val="007A0BEF"/>
    <w:rsid w:val="007A1F38"/>
    <w:rsid w:val="007A246D"/>
    <w:rsid w:val="007A4BFA"/>
    <w:rsid w:val="007A4D52"/>
    <w:rsid w:val="007A51BB"/>
    <w:rsid w:val="007A6397"/>
    <w:rsid w:val="007B0EA1"/>
    <w:rsid w:val="007B2315"/>
    <w:rsid w:val="007C0203"/>
    <w:rsid w:val="007C04AF"/>
    <w:rsid w:val="007C092B"/>
    <w:rsid w:val="007C0C01"/>
    <w:rsid w:val="007C1C13"/>
    <w:rsid w:val="007C32E3"/>
    <w:rsid w:val="007D09C4"/>
    <w:rsid w:val="007D25C6"/>
    <w:rsid w:val="007D2F32"/>
    <w:rsid w:val="007D3D47"/>
    <w:rsid w:val="007D3FFF"/>
    <w:rsid w:val="007D4527"/>
    <w:rsid w:val="007D529D"/>
    <w:rsid w:val="007D7874"/>
    <w:rsid w:val="007E0E9E"/>
    <w:rsid w:val="007E1322"/>
    <w:rsid w:val="007E4450"/>
    <w:rsid w:val="007E4741"/>
    <w:rsid w:val="007E724F"/>
    <w:rsid w:val="007E77B7"/>
    <w:rsid w:val="007E79DC"/>
    <w:rsid w:val="007E7A18"/>
    <w:rsid w:val="007F0E33"/>
    <w:rsid w:val="007F20AC"/>
    <w:rsid w:val="007F3B25"/>
    <w:rsid w:val="007F3D1E"/>
    <w:rsid w:val="007F4571"/>
    <w:rsid w:val="007F4797"/>
    <w:rsid w:val="007F53B7"/>
    <w:rsid w:val="007F58A2"/>
    <w:rsid w:val="007F6508"/>
    <w:rsid w:val="00800C6C"/>
    <w:rsid w:val="0080327F"/>
    <w:rsid w:val="008057A9"/>
    <w:rsid w:val="00805AFE"/>
    <w:rsid w:val="00806497"/>
    <w:rsid w:val="00806CBE"/>
    <w:rsid w:val="00807576"/>
    <w:rsid w:val="00811260"/>
    <w:rsid w:val="00811E88"/>
    <w:rsid w:val="00812C54"/>
    <w:rsid w:val="008142A6"/>
    <w:rsid w:val="00814310"/>
    <w:rsid w:val="0081444E"/>
    <w:rsid w:val="00815A39"/>
    <w:rsid w:val="008160F1"/>
    <w:rsid w:val="00817BC0"/>
    <w:rsid w:val="00822D2C"/>
    <w:rsid w:val="00826C7A"/>
    <w:rsid w:val="00827DCF"/>
    <w:rsid w:val="00832009"/>
    <w:rsid w:val="0083264F"/>
    <w:rsid w:val="008338B9"/>
    <w:rsid w:val="00833B46"/>
    <w:rsid w:val="008352C7"/>
    <w:rsid w:val="008355BE"/>
    <w:rsid w:val="0083580F"/>
    <w:rsid w:val="00835922"/>
    <w:rsid w:val="00836115"/>
    <w:rsid w:val="0084012F"/>
    <w:rsid w:val="0084109C"/>
    <w:rsid w:val="008433CE"/>
    <w:rsid w:val="00845A49"/>
    <w:rsid w:val="0084786F"/>
    <w:rsid w:val="00850BF4"/>
    <w:rsid w:val="00852853"/>
    <w:rsid w:val="00855607"/>
    <w:rsid w:val="0085590F"/>
    <w:rsid w:val="008572C5"/>
    <w:rsid w:val="00857526"/>
    <w:rsid w:val="00864A81"/>
    <w:rsid w:val="00865D6F"/>
    <w:rsid w:val="008669C1"/>
    <w:rsid w:val="00867859"/>
    <w:rsid w:val="008702D1"/>
    <w:rsid w:val="00870AC6"/>
    <w:rsid w:val="00873C92"/>
    <w:rsid w:val="00874B29"/>
    <w:rsid w:val="0087560B"/>
    <w:rsid w:val="008758AB"/>
    <w:rsid w:val="00875AE5"/>
    <w:rsid w:val="008801C5"/>
    <w:rsid w:val="008854AC"/>
    <w:rsid w:val="00886027"/>
    <w:rsid w:val="00887158"/>
    <w:rsid w:val="00887CA3"/>
    <w:rsid w:val="0089369A"/>
    <w:rsid w:val="008949C8"/>
    <w:rsid w:val="00896D6F"/>
    <w:rsid w:val="008A0F15"/>
    <w:rsid w:val="008A2BBB"/>
    <w:rsid w:val="008A3D1D"/>
    <w:rsid w:val="008A3FE2"/>
    <w:rsid w:val="008A4931"/>
    <w:rsid w:val="008A4999"/>
    <w:rsid w:val="008A674C"/>
    <w:rsid w:val="008A6C8F"/>
    <w:rsid w:val="008A76F0"/>
    <w:rsid w:val="008A7ABE"/>
    <w:rsid w:val="008B1AAF"/>
    <w:rsid w:val="008B3B36"/>
    <w:rsid w:val="008B4381"/>
    <w:rsid w:val="008B4769"/>
    <w:rsid w:val="008B4A7E"/>
    <w:rsid w:val="008B6698"/>
    <w:rsid w:val="008C0E19"/>
    <w:rsid w:val="008C321C"/>
    <w:rsid w:val="008C3628"/>
    <w:rsid w:val="008C5237"/>
    <w:rsid w:val="008C6741"/>
    <w:rsid w:val="008C687C"/>
    <w:rsid w:val="008C6A92"/>
    <w:rsid w:val="008C7EDF"/>
    <w:rsid w:val="008D0D68"/>
    <w:rsid w:val="008D28D6"/>
    <w:rsid w:val="008D3C24"/>
    <w:rsid w:val="008D4374"/>
    <w:rsid w:val="008D5037"/>
    <w:rsid w:val="008D789D"/>
    <w:rsid w:val="008E25EE"/>
    <w:rsid w:val="008E459C"/>
    <w:rsid w:val="008E4EA2"/>
    <w:rsid w:val="008F1AFA"/>
    <w:rsid w:val="008F2F7A"/>
    <w:rsid w:val="008F6B3A"/>
    <w:rsid w:val="008F7085"/>
    <w:rsid w:val="00902CBF"/>
    <w:rsid w:val="00902DAF"/>
    <w:rsid w:val="00903766"/>
    <w:rsid w:val="00904937"/>
    <w:rsid w:val="009056EE"/>
    <w:rsid w:val="009060B8"/>
    <w:rsid w:val="00906F76"/>
    <w:rsid w:val="0090787A"/>
    <w:rsid w:val="009106A2"/>
    <w:rsid w:val="009141D1"/>
    <w:rsid w:val="00915D0D"/>
    <w:rsid w:val="00915EC6"/>
    <w:rsid w:val="009228AC"/>
    <w:rsid w:val="00923626"/>
    <w:rsid w:val="00923F1B"/>
    <w:rsid w:val="00924D87"/>
    <w:rsid w:val="00924F0C"/>
    <w:rsid w:val="00925014"/>
    <w:rsid w:val="009261B4"/>
    <w:rsid w:val="0093056B"/>
    <w:rsid w:val="009313FC"/>
    <w:rsid w:val="00931B3D"/>
    <w:rsid w:val="00932274"/>
    <w:rsid w:val="00933BEC"/>
    <w:rsid w:val="00935318"/>
    <w:rsid w:val="00937BB7"/>
    <w:rsid w:val="00940192"/>
    <w:rsid w:val="00940986"/>
    <w:rsid w:val="00942AEA"/>
    <w:rsid w:val="0094456E"/>
    <w:rsid w:val="00944598"/>
    <w:rsid w:val="009468D5"/>
    <w:rsid w:val="00946AB4"/>
    <w:rsid w:val="00947B2C"/>
    <w:rsid w:val="0095090E"/>
    <w:rsid w:val="00951E31"/>
    <w:rsid w:val="00951F34"/>
    <w:rsid w:val="00955D58"/>
    <w:rsid w:val="0095724F"/>
    <w:rsid w:val="009578FB"/>
    <w:rsid w:val="00960221"/>
    <w:rsid w:val="00962970"/>
    <w:rsid w:val="00963B99"/>
    <w:rsid w:val="00964784"/>
    <w:rsid w:val="00964EAB"/>
    <w:rsid w:val="00966D53"/>
    <w:rsid w:val="00971655"/>
    <w:rsid w:val="00972219"/>
    <w:rsid w:val="00973CCF"/>
    <w:rsid w:val="009740A7"/>
    <w:rsid w:val="00975EEC"/>
    <w:rsid w:val="00977DCC"/>
    <w:rsid w:val="00977DF2"/>
    <w:rsid w:val="0098209C"/>
    <w:rsid w:val="00982686"/>
    <w:rsid w:val="0098615B"/>
    <w:rsid w:val="00987B36"/>
    <w:rsid w:val="00987CAD"/>
    <w:rsid w:val="0099004B"/>
    <w:rsid w:val="009903A2"/>
    <w:rsid w:val="0099110B"/>
    <w:rsid w:val="00991A39"/>
    <w:rsid w:val="0099271C"/>
    <w:rsid w:val="00992C3B"/>
    <w:rsid w:val="009947C1"/>
    <w:rsid w:val="009971D8"/>
    <w:rsid w:val="009A5206"/>
    <w:rsid w:val="009A54CC"/>
    <w:rsid w:val="009A70C8"/>
    <w:rsid w:val="009B1C44"/>
    <w:rsid w:val="009B2362"/>
    <w:rsid w:val="009B275C"/>
    <w:rsid w:val="009B30A5"/>
    <w:rsid w:val="009B47E4"/>
    <w:rsid w:val="009B4FC9"/>
    <w:rsid w:val="009B5082"/>
    <w:rsid w:val="009C02FE"/>
    <w:rsid w:val="009C2142"/>
    <w:rsid w:val="009C23E0"/>
    <w:rsid w:val="009C6275"/>
    <w:rsid w:val="009C6292"/>
    <w:rsid w:val="009C6C8B"/>
    <w:rsid w:val="009C7DFD"/>
    <w:rsid w:val="009D084B"/>
    <w:rsid w:val="009D1721"/>
    <w:rsid w:val="009D2AF3"/>
    <w:rsid w:val="009D303E"/>
    <w:rsid w:val="009D38DA"/>
    <w:rsid w:val="009D4635"/>
    <w:rsid w:val="009D4AB3"/>
    <w:rsid w:val="009D556C"/>
    <w:rsid w:val="009E05D7"/>
    <w:rsid w:val="009E09AA"/>
    <w:rsid w:val="009E21FA"/>
    <w:rsid w:val="009E4F41"/>
    <w:rsid w:val="009E5359"/>
    <w:rsid w:val="009E5D3B"/>
    <w:rsid w:val="009E67E4"/>
    <w:rsid w:val="009E6E8F"/>
    <w:rsid w:val="009E7E3E"/>
    <w:rsid w:val="009F1F98"/>
    <w:rsid w:val="009F31E8"/>
    <w:rsid w:val="009F3323"/>
    <w:rsid w:val="009F4265"/>
    <w:rsid w:val="009F467B"/>
    <w:rsid w:val="009F46B0"/>
    <w:rsid w:val="009F50D9"/>
    <w:rsid w:val="009F51D6"/>
    <w:rsid w:val="009F52A8"/>
    <w:rsid w:val="009F5923"/>
    <w:rsid w:val="00A0030F"/>
    <w:rsid w:val="00A003FC"/>
    <w:rsid w:val="00A01441"/>
    <w:rsid w:val="00A01C04"/>
    <w:rsid w:val="00A01DE1"/>
    <w:rsid w:val="00A03CF2"/>
    <w:rsid w:val="00A04590"/>
    <w:rsid w:val="00A15678"/>
    <w:rsid w:val="00A15770"/>
    <w:rsid w:val="00A15993"/>
    <w:rsid w:val="00A15C7C"/>
    <w:rsid w:val="00A16131"/>
    <w:rsid w:val="00A166F8"/>
    <w:rsid w:val="00A17652"/>
    <w:rsid w:val="00A20B39"/>
    <w:rsid w:val="00A23D0B"/>
    <w:rsid w:val="00A2572B"/>
    <w:rsid w:val="00A2686E"/>
    <w:rsid w:val="00A31CE1"/>
    <w:rsid w:val="00A3202B"/>
    <w:rsid w:val="00A34162"/>
    <w:rsid w:val="00A36D3A"/>
    <w:rsid w:val="00A37156"/>
    <w:rsid w:val="00A406A0"/>
    <w:rsid w:val="00A40F98"/>
    <w:rsid w:val="00A42662"/>
    <w:rsid w:val="00A462A3"/>
    <w:rsid w:val="00A46696"/>
    <w:rsid w:val="00A51543"/>
    <w:rsid w:val="00A523F4"/>
    <w:rsid w:val="00A5271B"/>
    <w:rsid w:val="00A53F48"/>
    <w:rsid w:val="00A54589"/>
    <w:rsid w:val="00A54836"/>
    <w:rsid w:val="00A60CDA"/>
    <w:rsid w:val="00A61F50"/>
    <w:rsid w:val="00A6241F"/>
    <w:rsid w:val="00A63C8A"/>
    <w:rsid w:val="00A64760"/>
    <w:rsid w:val="00A652D5"/>
    <w:rsid w:val="00A6687D"/>
    <w:rsid w:val="00A66B85"/>
    <w:rsid w:val="00A66D40"/>
    <w:rsid w:val="00A671B6"/>
    <w:rsid w:val="00A74BD8"/>
    <w:rsid w:val="00A74C4E"/>
    <w:rsid w:val="00A76244"/>
    <w:rsid w:val="00A776AB"/>
    <w:rsid w:val="00A77849"/>
    <w:rsid w:val="00A837D1"/>
    <w:rsid w:val="00A84BBA"/>
    <w:rsid w:val="00A8593B"/>
    <w:rsid w:val="00A87161"/>
    <w:rsid w:val="00A937CA"/>
    <w:rsid w:val="00A93F8F"/>
    <w:rsid w:val="00A942EA"/>
    <w:rsid w:val="00A95BDE"/>
    <w:rsid w:val="00A9616F"/>
    <w:rsid w:val="00A96461"/>
    <w:rsid w:val="00A9655F"/>
    <w:rsid w:val="00AA0C7E"/>
    <w:rsid w:val="00AA1842"/>
    <w:rsid w:val="00AA191C"/>
    <w:rsid w:val="00AA1A28"/>
    <w:rsid w:val="00AA43B0"/>
    <w:rsid w:val="00AA5558"/>
    <w:rsid w:val="00AA6A92"/>
    <w:rsid w:val="00AB125D"/>
    <w:rsid w:val="00AB30F7"/>
    <w:rsid w:val="00AB314F"/>
    <w:rsid w:val="00AB3E74"/>
    <w:rsid w:val="00AB4E7F"/>
    <w:rsid w:val="00AB620A"/>
    <w:rsid w:val="00AB778F"/>
    <w:rsid w:val="00AB793E"/>
    <w:rsid w:val="00AC049F"/>
    <w:rsid w:val="00AC3228"/>
    <w:rsid w:val="00AC5211"/>
    <w:rsid w:val="00AC7EB0"/>
    <w:rsid w:val="00AD1B0D"/>
    <w:rsid w:val="00AD4403"/>
    <w:rsid w:val="00AD736D"/>
    <w:rsid w:val="00AE0560"/>
    <w:rsid w:val="00AE06A2"/>
    <w:rsid w:val="00AE1E86"/>
    <w:rsid w:val="00AE24BD"/>
    <w:rsid w:val="00AE2554"/>
    <w:rsid w:val="00AE3139"/>
    <w:rsid w:val="00AE4577"/>
    <w:rsid w:val="00AE61C9"/>
    <w:rsid w:val="00AE7A6E"/>
    <w:rsid w:val="00AF1ED0"/>
    <w:rsid w:val="00AF21B2"/>
    <w:rsid w:val="00AF2C64"/>
    <w:rsid w:val="00AF3010"/>
    <w:rsid w:val="00AF5CA5"/>
    <w:rsid w:val="00AF6D0A"/>
    <w:rsid w:val="00B020D1"/>
    <w:rsid w:val="00B02AB2"/>
    <w:rsid w:val="00B058C2"/>
    <w:rsid w:val="00B06C48"/>
    <w:rsid w:val="00B104DE"/>
    <w:rsid w:val="00B1280D"/>
    <w:rsid w:val="00B14E70"/>
    <w:rsid w:val="00B202D7"/>
    <w:rsid w:val="00B20AC6"/>
    <w:rsid w:val="00B21123"/>
    <w:rsid w:val="00B23159"/>
    <w:rsid w:val="00B235B1"/>
    <w:rsid w:val="00B248D4"/>
    <w:rsid w:val="00B2788C"/>
    <w:rsid w:val="00B314DD"/>
    <w:rsid w:val="00B3287A"/>
    <w:rsid w:val="00B3708A"/>
    <w:rsid w:val="00B40406"/>
    <w:rsid w:val="00B42341"/>
    <w:rsid w:val="00B4495B"/>
    <w:rsid w:val="00B47F34"/>
    <w:rsid w:val="00B503F5"/>
    <w:rsid w:val="00B520C5"/>
    <w:rsid w:val="00B52DD6"/>
    <w:rsid w:val="00B53CE0"/>
    <w:rsid w:val="00B54CA0"/>
    <w:rsid w:val="00B5710C"/>
    <w:rsid w:val="00B61309"/>
    <w:rsid w:val="00B61954"/>
    <w:rsid w:val="00B628A7"/>
    <w:rsid w:val="00B63D49"/>
    <w:rsid w:val="00B64901"/>
    <w:rsid w:val="00B64C6D"/>
    <w:rsid w:val="00B6670B"/>
    <w:rsid w:val="00B66BB5"/>
    <w:rsid w:val="00B67739"/>
    <w:rsid w:val="00B70C1D"/>
    <w:rsid w:val="00B71FE2"/>
    <w:rsid w:val="00B74474"/>
    <w:rsid w:val="00B76829"/>
    <w:rsid w:val="00B803B9"/>
    <w:rsid w:val="00B83DB6"/>
    <w:rsid w:val="00B83FBC"/>
    <w:rsid w:val="00B85190"/>
    <w:rsid w:val="00B85DD1"/>
    <w:rsid w:val="00B867FB"/>
    <w:rsid w:val="00B8745A"/>
    <w:rsid w:val="00B9490C"/>
    <w:rsid w:val="00B94CB0"/>
    <w:rsid w:val="00B95495"/>
    <w:rsid w:val="00B95FD0"/>
    <w:rsid w:val="00B96740"/>
    <w:rsid w:val="00B97A39"/>
    <w:rsid w:val="00BA15D4"/>
    <w:rsid w:val="00BA238D"/>
    <w:rsid w:val="00BA6405"/>
    <w:rsid w:val="00BA65EB"/>
    <w:rsid w:val="00BA73F0"/>
    <w:rsid w:val="00BA7C23"/>
    <w:rsid w:val="00BB01BA"/>
    <w:rsid w:val="00BB061A"/>
    <w:rsid w:val="00BB20E4"/>
    <w:rsid w:val="00BB49DF"/>
    <w:rsid w:val="00BC0736"/>
    <w:rsid w:val="00BC22CC"/>
    <w:rsid w:val="00BC47E2"/>
    <w:rsid w:val="00BC5C7C"/>
    <w:rsid w:val="00BC73D8"/>
    <w:rsid w:val="00BD30F7"/>
    <w:rsid w:val="00BD5903"/>
    <w:rsid w:val="00BD6037"/>
    <w:rsid w:val="00BD6051"/>
    <w:rsid w:val="00BD740A"/>
    <w:rsid w:val="00BD79AF"/>
    <w:rsid w:val="00BE0097"/>
    <w:rsid w:val="00BE0924"/>
    <w:rsid w:val="00BE1A60"/>
    <w:rsid w:val="00BE2136"/>
    <w:rsid w:val="00BE6736"/>
    <w:rsid w:val="00BE7525"/>
    <w:rsid w:val="00BE779E"/>
    <w:rsid w:val="00BF13FC"/>
    <w:rsid w:val="00BF21A2"/>
    <w:rsid w:val="00BF2858"/>
    <w:rsid w:val="00BF3155"/>
    <w:rsid w:val="00BF5A98"/>
    <w:rsid w:val="00BF7801"/>
    <w:rsid w:val="00C004F8"/>
    <w:rsid w:val="00C00F92"/>
    <w:rsid w:val="00C0139E"/>
    <w:rsid w:val="00C0168B"/>
    <w:rsid w:val="00C030D1"/>
    <w:rsid w:val="00C03C82"/>
    <w:rsid w:val="00C0525E"/>
    <w:rsid w:val="00C061FB"/>
    <w:rsid w:val="00C07D9E"/>
    <w:rsid w:val="00C110FF"/>
    <w:rsid w:val="00C11967"/>
    <w:rsid w:val="00C160FC"/>
    <w:rsid w:val="00C168F4"/>
    <w:rsid w:val="00C16F25"/>
    <w:rsid w:val="00C1716B"/>
    <w:rsid w:val="00C2016E"/>
    <w:rsid w:val="00C20252"/>
    <w:rsid w:val="00C20953"/>
    <w:rsid w:val="00C20B5E"/>
    <w:rsid w:val="00C222AC"/>
    <w:rsid w:val="00C22F8B"/>
    <w:rsid w:val="00C231DF"/>
    <w:rsid w:val="00C23737"/>
    <w:rsid w:val="00C242B6"/>
    <w:rsid w:val="00C244C0"/>
    <w:rsid w:val="00C25C3F"/>
    <w:rsid w:val="00C27A47"/>
    <w:rsid w:val="00C31852"/>
    <w:rsid w:val="00C328DD"/>
    <w:rsid w:val="00C32D3C"/>
    <w:rsid w:val="00C350F3"/>
    <w:rsid w:val="00C37155"/>
    <w:rsid w:val="00C428CA"/>
    <w:rsid w:val="00C43149"/>
    <w:rsid w:val="00C43813"/>
    <w:rsid w:val="00C4479D"/>
    <w:rsid w:val="00C44DCC"/>
    <w:rsid w:val="00C45D3D"/>
    <w:rsid w:val="00C46076"/>
    <w:rsid w:val="00C466F0"/>
    <w:rsid w:val="00C51187"/>
    <w:rsid w:val="00C52D4C"/>
    <w:rsid w:val="00C539DA"/>
    <w:rsid w:val="00C53EF8"/>
    <w:rsid w:val="00C60612"/>
    <w:rsid w:val="00C61068"/>
    <w:rsid w:val="00C618FB"/>
    <w:rsid w:val="00C623C0"/>
    <w:rsid w:val="00C648C7"/>
    <w:rsid w:val="00C651C8"/>
    <w:rsid w:val="00C65F2E"/>
    <w:rsid w:val="00C67B3B"/>
    <w:rsid w:val="00C7395A"/>
    <w:rsid w:val="00C76057"/>
    <w:rsid w:val="00C811DC"/>
    <w:rsid w:val="00C819A0"/>
    <w:rsid w:val="00C81B95"/>
    <w:rsid w:val="00C81F21"/>
    <w:rsid w:val="00C82E79"/>
    <w:rsid w:val="00C8307A"/>
    <w:rsid w:val="00C831C0"/>
    <w:rsid w:val="00C8440E"/>
    <w:rsid w:val="00C85379"/>
    <w:rsid w:val="00C86567"/>
    <w:rsid w:val="00C87031"/>
    <w:rsid w:val="00C914C9"/>
    <w:rsid w:val="00C9168C"/>
    <w:rsid w:val="00C92477"/>
    <w:rsid w:val="00C93F4A"/>
    <w:rsid w:val="00C9549E"/>
    <w:rsid w:val="00C95B89"/>
    <w:rsid w:val="00C962E7"/>
    <w:rsid w:val="00CA1C0E"/>
    <w:rsid w:val="00CA34A9"/>
    <w:rsid w:val="00CA47BE"/>
    <w:rsid w:val="00CA4830"/>
    <w:rsid w:val="00CA4A4B"/>
    <w:rsid w:val="00CA7849"/>
    <w:rsid w:val="00CA78D4"/>
    <w:rsid w:val="00CB2F23"/>
    <w:rsid w:val="00CB7B02"/>
    <w:rsid w:val="00CB7B95"/>
    <w:rsid w:val="00CC1CBF"/>
    <w:rsid w:val="00CC2642"/>
    <w:rsid w:val="00CC2A1F"/>
    <w:rsid w:val="00CC4330"/>
    <w:rsid w:val="00CC6712"/>
    <w:rsid w:val="00CC75E8"/>
    <w:rsid w:val="00CD05FC"/>
    <w:rsid w:val="00CD06F6"/>
    <w:rsid w:val="00CD2146"/>
    <w:rsid w:val="00CD240D"/>
    <w:rsid w:val="00CD278C"/>
    <w:rsid w:val="00CD2E25"/>
    <w:rsid w:val="00CD49F4"/>
    <w:rsid w:val="00CD7EC3"/>
    <w:rsid w:val="00CE3960"/>
    <w:rsid w:val="00CE490A"/>
    <w:rsid w:val="00CE5692"/>
    <w:rsid w:val="00CE56E9"/>
    <w:rsid w:val="00CE6381"/>
    <w:rsid w:val="00CE6512"/>
    <w:rsid w:val="00CE6E60"/>
    <w:rsid w:val="00CE6EA2"/>
    <w:rsid w:val="00CE70E1"/>
    <w:rsid w:val="00CF0FB1"/>
    <w:rsid w:val="00CF32B8"/>
    <w:rsid w:val="00CF3BC3"/>
    <w:rsid w:val="00CF3D64"/>
    <w:rsid w:val="00CF431B"/>
    <w:rsid w:val="00D02D3D"/>
    <w:rsid w:val="00D04A9A"/>
    <w:rsid w:val="00D058C4"/>
    <w:rsid w:val="00D05FFF"/>
    <w:rsid w:val="00D1213F"/>
    <w:rsid w:val="00D14CCA"/>
    <w:rsid w:val="00D21570"/>
    <w:rsid w:val="00D22492"/>
    <w:rsid w:val="00D231DA"/>
    <w:rsid w:val="00D238B2"/>
    <w:rsid w:val="00D241EE"/>
    <w:rsid w:val="00D244AF"/>
    <w:rsid w:val="00D24D7C"/>
    <w:rsid w:val="00D253A5"/>
    <w:rsid w:val="00D25E7E"/>
    <w:rsid w:val="00D3320D"/>
    <w:rsid w:val="00D3369D"/>
    <w:rsid w:val="00D338D9"/>
    <w:rsid w:val="00D3440E"/>
    <w:rsid w:val="00D35BE5"/>
    <w:rsid w:val="00D363E6"/>
    <w:rsid w:val="00D3728D"/>
    <w:rsid w:val="00D37777"/>
    <w:rsid w:val="00D4187A"/>
    <w:rsid w:val="00D41B03"/>
    <w:rsid w:val="00D41CCC"/>
    <w:rsid w:val="00D433A2"/>
    <w:rsid w:val="00D442C8"/>
    <w:rsid w:val="00D44878"/>
    <w:rsid w:val="00D47DA0"/>
    <w:rsid w:val="00D5279C"/>
    <w:rsid w:val="00D52F1D"/>
    <w:rsid w:val="00D54664"/>
    <w:rsid w:val="00D5638B"/>
    <w:rsid w:val="00D56CC3"/>
    <w:rsid w:val="00D57661"/>
    <w:rsid w:val="00D608CD"/>
    <w:rsid w:val="00D61921"/>
    <w:rsid w:val="00D62691"/>
    <w:rsid w:val="00D62751"/>
    <w:rsid w:val="00D63CED"/>
    <w:rsid w:val="00D642C8"/>
    <w:rsid w:val="00D65CA5"/>
    <w:rsid w:val="00D66948"/>
    <w:rsid w:val="00D7282D"/>
    <w:rsid w:val="00D74211"/>
    <w:rsid w:val="00D7543F"/>
    <w:rsid w:val="00D77E3E"/>
    <w:rsid w:val="00D80A05"/>
    <w:rsid w:val="00D80AC7"/>
    <w:rsid w:val="00D81D87"/>
    <w:rsid w:val="00D8211D"/>
    <w:rsid w:val="00D82B70"/>
    <w:rsid w:val="00D836AB"/>
    <w:rsid w:val="00D85E4B"/>
    <w:rsid w:val="00D869D2"/>
    <w:rsid w:val="00D909B9"/>
    <w:rsid w:val="00D911E3"/>
    <w:rsid w:val="00D943D8"/>
    <w:rsid w:val="00D94F96"/>
    <w:rsid w:val="00DA1DD2"/>
    <w:rsid w:val="00DA2661"/>
    <w:rsid w:val="00DA5160"/>
    <w:rsid w:val="00DA75CA"/>
    <w:rsid w:val="00DA7CC2"/>
    <w:rsid w:val="00DB180A"/>
    <w:rsid w:val="00DB269B"/>
    <w:rsid w:val="00DB2CEE"/>
    <w:rsid w:val="00DB46E8"/>
    <w:rsid w:val="00DB5401"/>
    <w:rsid w:val="00DB616E"/>
    <w:rsid w:val="00DB6E71"/>
    <w:rsid w:val="00DB7B7B"/>
    <w:rsid w:val="00DC137B"/>
    <w:rsid w:val="00DC2638"/>
    <w:rsid w:val="00DC3BDA"/>
    <w:rsid w:val="00DC40FE"/>
    <w:rsid w:val="00DC6686"/>
    <w:rsid w:val="00DC7E37"/>
    <w:rsid w:val="00DD003D"/>
    <w:rsid w:val="00DD1BDD"/>
    <w:rsid w:val="00DD1F76"/>
    <w:rsid w:val="00DD370F"/>
    <w:rsid w:val="00DD60CD"/>
    <w:rsid w:val="00DD6969"/>
    <w:rsid w:val="00DD7415"/>
    <w:rsid w:val="00DD7D43"/>
    <w:rsid w:val="00DD7F70"/>
    <w:rsid w:val="00DE0A33"/>
    <w:rsid w:val="00DE1380"/>
    <w:rsid w:val="00DE2485"/>
    <w:rsid w:val="00DE28D8"/>
    <w:rsid w:val="00DE45E2"/>
    <w:rsid w:val="00DE4BB5"/>
    <w:rsid w:val="00DE5687"/>
    <w:rsid w:val="00DE7760"/>
    <w:rsid w:val="00DF5980"/>
    <w:rsid w:val="00E004C4"/>
    <w:rsid w:val="00E005E9"/>
    <w:rsid w:val="00E01825"/>
    <w:rsid w:val="00E0343C"/>
    <w:rsid w:val="00E03E4D"/>
    <w:rsid w:val="00E04B42"/>
    <w:rsid w:val="00E05EC7"/>
    <w:rsid w:val="00E10292"/>
    <w:rsid w:val="00E105F5"/>
    <w:rsid w:val="00E11E3D"/>
    <w:rsid w:val="00E12A72"/>
    <w:rsid w:val="00E164D7"/>
    <w:rsid w:val="00E17E86"/>
    <w:rsid w:val="00E20C53"/>
    <w:rsid w:val="00E20DEA"/>
    <w:rsid w:val="00E23337"/>
    <w:rsid w:val="00E2702D"/>
    <w:rsid w:val="00E30C4A"/>
    <w:rsid w:val="00E344F1"/>
    <w:rsid w:val="00E35E6B"/>
    <w:rsid w:val="00E37D25"/>
    <w:rsid w:val="00E40926"/>
    <w:rsid w:val="00E41940"/>
    <w:rsid w:val="00E44F5A"/>
    <w:rsid w:val="00E45220"/>
    <w:rsid w:val="00E45775"/>
    <w:rsid w:val="00E45A68"/>
    <w:rsid w:val="00E45CC6"/>
    <w:rsid w:val="00E46800"/>
    <w:rsid w:val="00E4701C"/>
    <w:rsid w:val="00E51B81"/>
    <w:rsid w:val="00E524C1"/>
    <w:rsid w:val="00E5590C"/>
    <w:rsid w:val="00E57313"/>
    <w:rsid w:val="00E60CF6"/>
    <w:rsid w:val="00E61184"/>
    <w:rsid w:val="00E638EE"/>
    <w:rsid w:val="00E66B2F"/>
    <w:rsid w:val="00E727F0"/>
    <w:rsid w:val="00E77E59"/>
    <w:rsid w:val="00E81043"/>
    <w:rsid w:val="00E831F1"/>
    <w:rsid w:val="00E8423C"/>
    <w:rsid w:val="00E84864"/>
    <w:rsid w:val="00E849AB"/>
    <w:rsid w:val="00E87080"/>
    <w:rsid w:val="00E929A5"/>
    <w:rsid w:val="00E960E4"/>
    <w:rsid w:val="00E97E0B"/>
    <w:rsid w:val="00EA06A5"/>
    <w:rsid w:val="00EA17A3"/>
    <w:rsid w:val="00EA1C41"/>
    <w:rsid w:val="00EA3997"/>
    <w:rsid w:val="00EA3DEE"/>
    <w:rsid w:val="00EA4F50"/>
    <w:rsid w:val="00EA5D8C"/>
    <w:rsid w:val="00EA74AD"/>
    <w:rsid w:val="00EA7AF8"/>
    <w:rsid w:val="00EB0B3E"/>
    <w:rsid w:val="00EB26DB"/>
    <w:rsid w:val="00EB3332"/>
    <w:rsid w:val="00EB72AD"/>
    <w:rsid w:val="00EC2600"/>
    <w:rsid w:val="00EC58A7"/>
    <w:rsid w:val="00EC67DB"/>
    <w:rsid w:val="00EC6E6A"/>
    <w:rsid w:val="00ED0C1C"/>
    <w:rsid w:val="00ED16BC"/>
    <w:rsid w:val="00ED1BDA"/>
    <w:rsid w:val="00ED63E2"/>
    <w:rsid w:val="00ED669E"/>
    <w:rsid w:val="00ED6F6D"/>
    <w:rsid w:val="00EE0003"/>
    <w:rsid w:val="00EE0112"/>
    <w:rsid w:val="00EE08EF"/>
    <w:rsid w:val="00EE3DB7"/>
    <w:rsid w:val="00EE416D"/>
    <w:rsid w:val="00EE5FA0"/>
    <w:rsid w:val="00EF3427"/>
    <w:rsid w:val="00EF4482"/>
    <w:rsid w:val="00EF586F"/>
    <w:rsid w:val="00EF67AE"/>
    <w:rsid w:val="00EF6A97"/>
    <w:rsid w:val="00EF6EC9"/>
    <w:rsid w:val="00F01B69"/>
    <w:rsid w:val="00F02209"/>
    <w:rsid w:val="00F02B2D"/>
    <w:rsid w:val="00F0437D"/>
    <w:rsid w:val="00F055B8"/>
    <w:rsid w:val="00F05C01"/>
    <w:rsid w:val="00F063F4"/>
    <w:rsid w:val="00F07843"/>
    <w:rsid w:val="00F133F3"/>
    <w:rsid w:val="00F13706"/>
    <w:rsid w:val="00F14835"/>
    <w:rsid w:val="00F16FE0"/>
    <w:rsid w:val="00F17436"/>
    <w:rsid w:val="00F1788C"/>
    <w:rsid w:val="00F2058F"/>
    <w:rsid w:val="00F22432"/>
    <w:rsid w:val="00F24842"/>
    <w:rsid w:val="00F24E0D"/>
    <w:rsid w:val="00F32272"/>
    <w:rsid w:val="00F32CB9"/>
    <w:rsid w:val="00F34201"/>
    <w:rsid w:val="00F3466E"/>
    <w:rsid w:val="00F3474A"/>
    <w:rsid w:val="00F349D8"/>
    <w:rsid w:val="00F34D85"/>
    <w:rsid w:val="00F36CF0"/>
    <w:rsid w:val="00F40D9F"/>
    <w:rsid w:val="00F41211"/>
    <w:rsid w:val="00F43FDD"/>
    <w:rsid w:val="00F45A5E"/>
    <w:rsid w:val="00F45C3B"/>
    <w:rsid w:val="00F46941"/>
    <w:rsid w:val="00F47231"/>
    <w:rsid w:val="00F5024B"/>
    <w:rsid w:val="00F546C1"/>
    <w:rsid w:val="00F54AF2"/>
    <w:rsid w:val="00F5600E"/>
    <w:rsid w:val="00F563A1"/>
    <w:rsid w:val="00F56B94"/>
    <w:rsid w:val="00F60B7F"/>
    <w:rsid w:val="00F61D33"/>
    <w:rsid w:val="00F63126"/>
    <w:rsid w:val="00F64A52"/>
    <w:rsid w:val="00F66FCF"/>
    <w:rsid w:val="00F70A52"/>
    <w:rsid w:val="00F722B9"/>
    <w:rsid w:val="00F748E5"/>
    <w:rsid w:val="00F823E5"/>
    <w:rsid w:val="00F827EA"/>
    <w:rsid w:val="00F82FD2"/>
    <w:rsid w:val="00F838DD"/>
    <w:rsid w:val="00F8405C"/>
    <w:rsid w:val="00F84FBB"/>
    <w:rsid w:val="00F85CA3"/>
    <w:rsid w:val="00F87006"/>
    <w:rsid w:val="00F905D0"/>
    <w:rsid w:val="00F90B6A"/>
    <w:rsid w:val="00F922FB"/>
    <w:rsid w:val="00F92775"/>
    <w:rsid w:val="00F94B6B"/>
    <w:rsid w:val="00F95BED"/>
    <w:rsid w:val="00F96015"/>
    <w:rsid w:val="00F97258"/>
    <w:rsid w:val="00FA011B"/>
    <w:rsid w:val="00FA13D8"/>
    <w:rsid w:val="00FA50B4"/>
    <w:rsid w:val="00FB19C7"/>
    <w:rsid w:val="00FB2698"/>
    <w:rsid w:val="00FB34AC"/>
    <w:rsid w:val="00FB43C3"/>
    <w:rsid w:val="00FB69A5"/>
    <w:rsid w:val="00FB732B"/>
    <w:rsid w:val="00FC0736"/>
    <w:rsid w:val="00FC0E95"/>
    <w:rsid w:val="00FC20AA"/>
    <w:rsid w:val="00FC3543"/>
    <w:rsid w:val="00FC3FD3"/>
    <w:rsid w:val="00FD7B69"/>
    <w:rsid w:val="00FE2AD1"/>
    <w:rsid w:val="00FE37B9"/>
    <w:rsid w:val="00FF05BC"/>
    <w:rsid w:val="00FF2A9B"/>
    <w:rsid w:val="00FF3AC7"/>
    <w:rsid w:val="00FF488E"/>
    <w:rsid w:val="00FF48A7"/>
    <w:rsid w:val="00FF55C8"/>
    <w:rsid w:val="00FF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0375F"/>
  <w15:docId w15:val="{3B408972-868E-48EB-9213-35174D68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BB5"/>
  </w:style>
  <w:style w:type="paragraph" w:styleId="Heading1">
    <w:name w:val="heading 1"/>
    <w:basedOn w:val="Normal"/>
    <w:next w:val="Normal"/>
    <w:link w:val="Heading1Char"/>
    <w:uiPriority w:val="9"/>
    <w:qFormat/>
    <w:rsid w:val="00312CDF"/>
    <w:pPr>
      <w:keepNext/>
      <w:keepLines/>
      <w:pBdr>
        <w:bottom w:val="single" w:sz="4" w:space="1" w:color="auto"/>
      </w:pBdr>
      <w:spacing w:before="360" w:after="12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632D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2CD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12C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4F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4F96"/>
    <w:rPr>
      <w:color w:val="0000FF"/>
      <w:u w:val="single"/>
    </w:rPr>
  </w:style>
  <w:style w:type="paragraph" w:styleId="BalloonText">
    <w:name w:val="Balloon Text"/>
    <w:basedOn w:val="Normal"/>
    <w:link w:val="BalloonTextChar"/>
    <w:uiPriority w:val="99"/>
    <w:semiHidden/>
    <w:unhideWhenUsed/>
    <w:rsid w:val="00D94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F96"/>
    <w:rPr>
      <w:rFonts w:ascii="Tahoma" w:hAnsi="Tahoma" w:cs="Tahoma"/>
      <w:sz w:val="16"/>
      <w:szCs w:val="16"/>
    </w:rPr>
  </w:style>
  <w:style w:type="character" w:customStyle="1" w:styleId="Style1">
    <w:name w:val="Style1"/>
    <w:basedOn w:val="DefaultParagraphFont"/>
    <w:uiPriority w:val="1"/>
    <w:rsid w:val="00D94F96"/>
    <w:rPr>
      <w:rFonts w:asciiTheme="minorHAnsi" w:hAnsiTheme="minorHAnsi"/>
      <w:b w:val="0"/>
      <w:sz w:val="24"/>
    </w:rPr>
  </w:style>
  <w:style w:type="character" w:styleId="CommentReference">
    <w:name w:val="annotation reference"/>
    <w:basedOn w:val="DefaultParagraphFont"/>
    <w:uiPriority w:val="99"/>
    <w:semiHidden/>
    <w:unhideWhenUsed/>
    <w:rsid w:val="005E126C"/>
    <w:rPr>
      <w:sz w:val="16"/>
      <w:szCs w:val="16"/>
    </w:rPr>
  </w:style>
  <w:style w:type="paragraph" w:styleId="CommentText">
    <w:name w:val="annotation text"/>
    <w:basedOn w:val="Normal"/>
    <w:link w:val="CommentTextChar"/>
    <w:uiPriority w:val="99"/>
    <w:unhideWhenUsed/>
    <w:rsid w:val="005E126C"/>
    <w:pPr>
      <w:spacing w:line="240" w:lineRule="auto"/>
    </w:pPr>
    <w:rPr>
      <w:sz w:val="20"/>
      <w:szCs w:val="20"/>
    </w:rPr>
  </w:style>
  <w:style w:type="character" w:customStyle="1" w:styleId="CommentTextChar">
    <w:name w:val="Comment Text Char"/>
    <w:basedOn w:val="DefaultParagraphFont"/>
    <w:link w:val="CommentText"/>
    <w:uiPriority w:val="99"/>
    <w:rsid w:val="005E126C"/>
    <w:rPr>
      <w:sz w:val="20"/>
      <w:szCs w:val="20"/>
    </w:rPr>
  </w:style>
  <w:style w:type="paragraph" w:styleId="CommentSubject">
    <w:name w:val="annotation subject"/>
    <w:basedOn w:val="CommentText"/>
    <w:next w:val="CommentText"/>
    <w:link w:val="CommentSubjectChar"/>
    <w:uiPriority w:val="99"/>
    <w:semiHidden/>
    <w:unhideWhenUsed/>
    <w:rsid w:val="005E126C"/>
    <w:rPr>
      <w:b/>
      <w:bCs/>
    </w:rPr>
  </w:style>
  <w:style w:type="character" w:customStyle="1" w:styleId="CommentSubjectChar">
    <w:name w:val="Comment Subject Char"/>
    <w:basedOn w:val="CommentTextChar"/>
    <w:link w:val="CommentSubject"/>
    <w:uiPriority w:val="99"/>
    <w:semiHidden/>
    <w:rsid w:val="005E126C"/>
    <w:rPr>
      <w:b/>
      <w:bCs/>
      <w:sz w:val="20"/>
      <w:szCs w:val="20"/>
    </w:rPr>
  </w:style>
  <w:style w:type="character" w:customStyle="1" w:styleId="Heading1Char">
    <w:name w:val="Heading 1 Char"/>
    <w:basedOn w:val="DefaultParagraphFont"/>
    <w:link w:val="Heading1"/>
    <w:uiPriority w:val="9"/>
    <w:rsid w:val="00312CDF"/>
    <w:rPr>
      <w:rFonts w:eastAsiaTheme="majorEastAsia" w:cstheme="majorBidi"/>
      <w:b/>
      <w:bCs/>
      <w:sz w:val="24"/>
      <w:szCs w:val="28"/>
    </w:rPr>
  </w:style>
  <w:style w:type="character" w:customStyle="1" w:styleId="Heading2Char">
    <w:name w:val="Heading 2 Char"/>
    <w:basedOn w:val="DefaultParagraphFont"/>
    <w:link w:val="Heading2"/>
    <w:uiPriority w:val="9"/>
    <w:rsid w:val="00632D75"/>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632D75"/>
    <w:pPr>
      <w:spacing w:after="0" w:line="240" w:lineRule="auto"/>
    </w:pPr>
  </w:style>
  <w:style w:type="character" w:customStyle="1" w:styleId="Heading3Char">
    <w:name w:val="Heading 3 Char"/>
    <w:basedOn w:val="DefaultParagraphFont"/>
    <w:link w:val="Heading3"/>
    <w:uiPriority w:val="9"/>
    <w:rsid w:val="00312C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12CDF"/>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6176FF"/>
    <w:pPr>
      <w:ind w:left="720"/>
      <w:contextualSpacing/>
    </w:pPr>
  </w:style>
  <w:style w:type="paragraph" w:styleId="Header">
    <w:name w:val="header"/>
    <w:basedOn w:val="Normal"/>
    <w:link w:val="HeaderChar"/>
    <w:uiPriority w:val="99"/>
    <w:unhideWhenUsed/>
    <w:rsid w:val="003436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6C5"/>
  </w:style>
  <w:style w:type="paragraph" w:styleId="Footer">
    <w:name w:val="footer"/>
    <w:basedOn w:val="Normal"/>
    <w:link w:val="FooterChar"/>
    <w:uiPriority w:val="99"/>
    <w:unhideWhenUsed/>
    <w:rsid w:val="003436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6C5"/>
  </w:style>
  <w:style w:type="character" w:customStyle="1" w:styleId="Mention1">
    <w:name w:val="Mention1"/>
    <w:basedOn w:val="DefaultParagraphFont"/>
    <w:uiPriority w:val="99"/>
    <w:semiHidden/>
    <w:unhideWhenUsed/>
    <w:rsid w:val="005B2E05"/>
    <w:rPr>
      <w:color w:val="2B579A"/>
      <w:shd w:val="clear" w:color="auto" w:fill="E6E6E6"/>
    </w:rPr>
  </w:style>
  <w:style w:type="character" w:customStyle="1" w:styleId="attach-comment">
    <w:name w:val="attach-comment"/>
    <w:basedOn w:val="DefaultParagraphFont"/>
    <w:rsid w:val="00F24E0D"/>
  </w:style>
  <w:style w:type="paragraph" w:styleId="HTMLPreformatted">
    <w:name w:val="HTML Preformatted"/>
    <w:basedOn w:val="Normal"/>
    <w:link w:val="HTMLPreformattedChar"/>
    <w:uiPriority w:val="99"/>
    <w:semiHidden/>
    <w:unhideWhenUsed/>
    <w:rsid w:val="00F24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24E0D"/>
    <w:rPr>
      <w:rFonts w:ascii="Courier New" w:eastAsia="Times New Roman" w:hAnsi="Courier New" w:cs="Courier New"/>
      <w:sz w:val="20"/>
      <w:szCs w:val="20"/>
    </w:rPr>
  </w:style>
  <w:style w:type="paragraph" w:customStyle="1" w:styleId="Default">
    <w:name w:val="Default"/>
    <w:rsid w:val="0072270C"/>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AB3E74"/>
    <w:rPr>
      <w:color w:val="808080"/>
      <w:shd w:val="clear" w:color="auto" w:fill="E6E6E6"/>
    </w:rPr>
  </w:style>
  <w:style w:type="paragraph" w:styleId="Revision">
    <w:name w:val="Revision"/>
    <w:hidden/>
    <w:uiPriority w:val="99"/>
    <w:semiHidden/>
    <w:rsid w:val="00EA3997"/>
    <w:pPr>
      <w:spacing w:after="0" w:line="240" w:lineRule="auto"/>
    </w:pPr>
  </w:style>
  <w:style w:type="paragraph" w:styleId="PlainText">
    <w:name w:val="Plain Text"/>
    <w:basedOn w:val="Normal"/>
    <w:link w:val="PlainTextChar"/>
    <w:uiPriority w:val="99"/>
    <w:unhideWhenUsed/>
    <w:rsid w:val="00E8423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8423C"/>
    <w:rPr>
      <w:rFonts w:ascii="Calibri" w:hAnsi="Calibri"/>
      <w:szCs w:val="21"/>
    </w:rPr>
  </w:style>
  <w:style w:type="character" w:styleId="FollowedHyperlink">
    <w:name w:val="FollowedHyperlink"/>
    <w:basedOn w:val="DefaultParagraphFont"/>
    <w:uiPriority w:val="99"/>
    <w:semiHidden/>
    <w:unhideWhenUsed/>
    <w:rsid w:val="00377415"/>
    <w:rPr>
      <w:color w:val="800080" w:themeColor="followedHyperlink"/>
      <w:u w:val="single"/>
    </w:rPr>
  </w:style>
  <w:style w:type="character" w:styleId="UnresolvedMention">
    <w:name w:val="Unresolved Mention"/>
    <w:basedOn w:val="DefaultParagraphFont"/>
    <w:uiPriority w:val="99"/>
    <w:semiHidden/>
    <w:unhideWhenUsed/>
    <w:rsid w:val="009D556C"/>
    <w:rPr>
      <w:color w:val="605E5C"/>
      <w:shd w:val="clear" w:color="auto" w:fill="E1DFDD"/>
    </w:rPr>
  </w:style>
  <w:style w:type="table" w:styleId="TableGrid">
    <w:name w:val="Table Grid"/>
    <w:basedOn w:val="TableNormal"/>
    <w:uiPriority w:val="59"/>
    <w:rsid w:val="00486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484">
      <w:bodyDiv w:val="1"/>
      <w:marLeft w:val="0"/>
      <w:marRight w:val="0"/>
      <w:marTop w:val="0"/>
      <w:marBottom w:val="0"/>
      <w:divBdr>
        <w:top w:val="none" w:sz="0" w:space="0" w:color="auto"/>
        <w:left w:val="none" w:sz="0" w:space="0" w:color="auto"/>
        <w:bottom w:val="none" w:sz="0" w:space="0" w:color="auto"/>
        <w:right w:val="none" w:sz="0" w:space="0" w:color="auto"/>
      </w:divBdr>
    </w:div>
    <w:div w:id="16584867">
      <w:bodyDiv w:val="1"/>
      <w:marLeft w:val="0"/>
      <w:marRight w:val="0"/>
      <w:marTop w:val="0"/>
      <w:marBottom w:val="0"/>
      <w:divBdr>
        <w:top w:val="none" w:sz="0" w:space="0" w:color="auto"/>
        <w:left w:val="none" w:sz="0" w:space="0" w:color="auto"/>
        <w:bottom w:val="none" w:sz="0" w:space="0" w:color="auto"/>
        <w:right w:val="none" w:sz="0" w:space="0" w:color="auto"/>
      </w:divBdr>
    </w:div>
    <w:div w:id="18316280">
      <w:bodyDiv w:val="1"/>
      <w:marLeft w:val="0"/>
      <w:marRight w:val="0"/>
      <w:marTop w:val="0"/>
      <w:marBottom w:val="0"/>
      <w:divBdr>
        <w:top w:val="none" w:sz="0" w:space="0" w:color="auto"/>
        <w:left w:val="none" w:sz="0" w:space="0" w:color="auto"/>
        <w:bottom w:val="none" w:sz="0" w:space="0" w:color="auto"/>
        <w:right w:val="none" w:sz="0" w:space="0" w:color="auto"/>
      </w:divBdr>
    </w:div>
    <w:div w:id="23679137">
      <w:bodyDiv w:val="1"/>
      <w:marLeft w:val="0"/>
      <w:marRight w:val="0"/>
      <w:marTop w:val="0"/>
      <w:marBottom w:val="0"/>
      <w:divBdr>
        <w:top w:val="none" w:sz="0" w:space="0" w:color="auto"/>
        <w:left w:val="none" w:sz="0" w:space="0" w:color="auto"/>
        <w:bottom w:val="none" w:sz="0" w:space="0" w:color="auto"/>
        <w:right w:val="none" w:sz="0" w:space="0" w:color="auto"/>
      </w:divBdr>
    </w:div>
    <w:div w:id="40787799">
      <w:bodyDiv w:val="1"/>
      <w:marLeft w:val="0"/>
      <w:marRight w:val="0"/>
      <w:marTop w:val="0"/>
      <w:marBottom w:val="0"/>
      <w:divBdr>
        <w:top w:val="none" w:sz="0" w:space="0" w:color="auto"/>
        <w:left w:val="none" w:sz="0" w:space="0" w:color="auto"/>
        <w:bottom w:val="none" w:sz="0" w:space="0" w:color="auto"/>
        <w:right w:val="none" w:sz="0" w:space="0" w:color="auto"/>
      </w:divBdr>
    </w:div>
    <w:div w:id="70934659">
      <w:bodyDiv w:val="1"/>
      <w:marLeft w:val="0"/>
      <w:marRight w:val="0"/>
      <w:marTop w:val="0"/>
      <w:marBottom w:val="0"/>
      <w:divBdr>
        <w:top w:val="none" w:sz="0" w:space="0" w:color="auto"/>
        <w:left w:val="none" w:sz="0" w:space="0" w:color="auto"/>
        <w:bottom w:val="none" w:sz="0" w:space="0" w:color="auto"/>
        <w:right w:val="none" w:sz="0" w:space="0" w:color="auto"/>
      </w:divBdr>
    </w:div>
    <w:div w:id="88237364">
      <w:bodyDiv w:val="1"/>
      <w:marLeft w:val="0"/>
      <w:marRight w:val="0"/>
      <w:marTop w:val="0"/>
      <w:marBottom w:val="0"/>
      <w:divBdr>
        <w:top w:val="none" w:sz="0" w:space="0" w:color="auto"/>
        <w:left w:val="none" w:sz="0" w:space="0" w:color="auto"/>
        <w:bottom w:val="none" w:sz="0" w:space="0" w:color="auto"/>
        <w:right w:val="none" w:sz="0" w:space="0" w:color="auto"/>
      </w:divBdr>
    </w:div>
    <w:div w:id="94175253">
      <w:bodyDiv w:val="1"/>
      <w:marLeft w:val="0"/>
      <w:marRight w:val="0"/>
      <w:marTop w:val="0"/>
      <w:marBottom w:val="0"/>
      <w:divBdr>
        <w:top w:val="none" w:sz="0" w:space="0" w:color="auto"/>
        <w:left w:val="none" w:sz="0" w:space="0" w:color="auto"/>
        <w:bottom w:val="none" w:sz="0" w:space="0" w:color="auto"/>
        <w:right w:val="none" w:sz="0" w:space="0" w:color="auto"/>
      </w:divBdr>
    </w:div>
    <w:div w:id="135220813">
      <w:bodyDiv w:val="1"/>
      <w:marLeft w:val="0"/>
      <w:marRight w:val="0"/>
      <w:marTop w:val="0"/>
      <w:marBottom w:val="0"/>
      <w:divBdr>
        <w:top w:val="none" w:sz="0" w:space="0" w:color="auto"/>
        <w:left w:val="none" w:sz="0" w:space="0" w:color="auto"/>
        <w:bottom w:val="none" w:sz="0" w:space="0" w:color="auto"/>
        <w:right w:val="none" w:sz="0" w:space="0" w:color="auto"/>
      </w:divBdr>
    </w:div>
    <w:div w:id="135806260">
      <w:bodyDiv w:val="1"/>
      <w:marLeft w:val="0"/>
      <w:marRight w:val="0"/>
      <w:marTop w:val="0"/>
      <w:marBottom w:val="0"/>
      <w:divBdr>
        <w:top w:val="none" w:sz="0" w:space="0" w:color="auto"/>
        <w:left w:val="none" w:sz="0" w:space="0" w:color="auto"/>
        <w:bottom w:val="none" w:sz="0" w:space="0" w:color="auto"/>
        <w:right w:val="none" w:sz="0" w:space="0" w:color="auto"/>
      </w:divBdr>
    </w:div>
    <w:div w:id="150876474">
      <w:bodyDiv w:val="1"/>
      <w:marLeft w:val="0"/>
      <w:marRight w:val="0"/>
      <w:marTop w:val="0"/>
      <w:marBottom w:val="0"/>
      <w:divBdr>
        <w:top w:val="none" w:sz="0" w:space="0" w:color="auto"/>
        <w:left w:val="none" w:sz="0" w:space="0" w:color="auto"/>
        <w:bottom w:val="none" w:sz="0" w:space="0" w:color="auto"/>
        <w:right w:val="none" w:sz="0" w:space="0" w:color="auto"/>
      </w:divBdr>
    </w:div>
    <w:div w:id="175927565">
      <w:bodyDiv w:val="1"/>
      <w:marLeft w:val="0"/>
      <w:marRight w:val="0"/>
      <w:marTop w:val="0"/>
      <w:marBottom w:val="0"/>
      <w:divBdr>
        <w:top w:val="none" w:sz="0" w:space="0" w:color="auto"/>
        <w:left w:val="none" w:sz="0" w:space="0" w:color="auto"/>
        <w:bottom w:val="none" w:sz="0" w:space="0" w:color="auto"/>
        <w:right w:val="none" w:sz="0" w:space="0" w:color="auto"/>
      </w:divBdr>
    </w:div>
    <w:div w:id="191966980">
      <w:bodyDiv w:val="1"/>
      <w:marLeft w:val="0"/>
      <w:marRight w:val="0"/>
      <w:marTop w:val="0"/>
      <w:marBottom w:val="0"/>
      <w:divBdr>
        <w:top w:val="none" w:sz="0" w:space="0" w:color="auto"/>
        <w:left w:val="none" w:sz="0" w:space="0" w:color="auto"/>
        <w:bottom w:val="none" w:sz="0" w:space="0" w:color="auto"/>
        <w:right w:val="none" w:sz="0" w:space="0" w:color="auto"/>
      </w:divBdr>
    </w:div>
    <w:div w:id="197426383">
      <w:bodyDiv w:val="1"/>
      <w:marLeft w:val="0"/>
      <w:marRight w:val="0"/>
      <w:marTop w:val="0"/>
      <w:marBottom w:val="0"/>
      <w:divBdr>
        <w:top w:val="none" w:sz="0" w:space="0" w:color="auto"/>
        <w:left w:val="none" w:sz="0" w:space="0" w:color="auto"/>
        <w:bottom w:val="none" w:sz="0" w:space="0" w:color="auto"/>
        <w:right w:val="none" w:sz="0" w:space="0" w:color="auto"/>
      </w:divBdr>
    </w:div>
    <w:div w:id="201015160">
      <w:bodyDiv w:val="1"/>
      <w:marLeft w:val="0"/>
      <w:marRight w:val="0"/>
      <w:marTop w:val="0"/>
      <w:marBottom w:val="0"/>
      <w:divBdr>
        <w:top w:val="none" w:sz="0" w:space="0" w:color="auto"/>
        <w:left w:val="none" w:sz="0" w:space="0" w:color="auto"/>
        <w:bottom w:val="none" w:sz="0" w:space="0" w:color="auto"/>
        <w:right w:val="none" w:sz="0" w:space="0" w:color="auto"/>
      </w:divBdr>
    </w:div>
    <w:div w:id="213781816">
      <w:bodyDiv w:val="1"/>
      <w:marLeft w:val="0"/>
      <w:marRight w:val="0"/>
      <w:marTop w:val="0"/>
      <w:marBottom w:val="0"/>
      <w:divBdr>
        <w:top w:val="none" w:sz="0" w:space="0" w:color="auto"/>
        <w:left w:val="none" w:sz="0" w:space="0" w:color="auto"/>
        <w:bottom w:val="none" w:sz="0" w:space="0" w:color="auto"/>
        <w:right w:val="none" w:sz="0" w:space="0" w:color="auto"/>
      </w:divBdr>
    </w:div>
    <w:div w:id="220944702">
      <w:bodyDiv w:val="1"/>
      <w:marLeft w:val="0"/>
      <w:marRight w:val="0"/>
      <w:marTop w:val="0"/>
      <w:marBottom w:val="0"/>
      <w:divBdr>
        <w:top w:val="none" w:sz="0" w:space="0" w:color="auto"/>
        <w:left w:val="none" w:sz="0" w:space="0" w:color="auto"/>
        <w:bottom w:val="none" w:sz="0" w:space="0" w:color="auto"/>
        <w:right w:val="none" w:sz="0" w:space="0" w:color="auto"/>
      </w:divBdr>
    </w:div>
    <w:div w:id="228461038">
      <w:bodyDiv w:val="1"/>
      <w:marLeft w:val="0"/>
      <w:marRight w:val="0"/>
      <w:marTop w:val="0"/>
      <w:marBottom w:val="0"/>
      <w:divBdr>
        <w:top w:val="none" w:sz="0" w:space="0" w:color="auto"/>
        <w:left w:val="none" w:sz="0" w:space="0" w:color="auto"/>
        <w:bottom w:val="none" w:sz="0" w:space="0" w:color="auto"/>
        <w:right w:val="none" w:sz="0" w:space="0" w:color="auto"/>
      </w:divBdr>
    </w:div>
    <w:div w:id="302661363">
      <w:bodyDiv w:val="1"/>
      <w:marLeft w:val="0"/>
      <w:marRight w:val="0"/>
      <w:marTop w:val="0"/>
      <w:marBottom w:val="0"/>
      <w:divBdr>
        <w:top w:val="none" w:sz="0" w:space="0" w:color="auto"/>
        <w:left w:val="none" w:sz="0" w:space="0" w:color="auto"/>
        <w:bottom w:val="none" w:sz="0" w:space="0" w:color="auto"/>
        <w:right w:val="none" w:sz="0" w:space="0" w:color="auto"/>
      </w:divBdr>
    </w:div>
    <w:div w:id="370694118">
      <w:bodyDiv w:val="1"/>
      <w:marLeft w:val="0"/>
      <w:marRight w:val="0"/>
      <w:marTop w:val="0"/>
      <w:marBottom w:val="0"/>
      <w:divBdr>
        <w:top w:val="none" w:sz="0" w:space="0" w:color="auto"/>
        <w:left w:val="none" w:sz="0" w:space="0" w:color="auto"/>
        <w:bottom w:val="none" w:sz="0" w:space="0" w:color="auto"/>
        <w:right w:val="none" w:sz="0" w:space="0" w:color="auto"/>
      </w:divBdr>
    </w:div>
    <w:div w:id="375550131">
      <w:bodyDiv w:val="1"/>
      <w:marLeft w:val="0"/>
      <w:marRight w:val="0"/>
      <w:marTop w:val="0"/>
      <w:marBottom w:val="0"/>
      <w:divBdr>
        <w:top w:val="none" w:sz="0" w:space="0" w:color="auto"/>
        <w:left w:val="none" w:sz="0" w:space="0" w:color="auto"/>
        <w:bottom w:val="none" w:sz="0" w:space="0" w:color="auto"/>
        <w:right w:val="none" w:sz="0" w:space="0" w:color="auto"/>
      </w:divBdr>
    </w:div>
    <w:div w:id="386028810">
      <w:bodyDiv w:val="1"/>
      <w:marLeft w:val="0"/>
      <w:marRight w:val="0"/>
      <w:marTop w:val="0"/>
      <w:marBottom w:val="0"/>
      <w:divBdr>
        <w:top w:val="none" w:sz="0" w:space="0" w:color="auto"/>
        <w:left w:val="none" w:sz="0" w:space="0" w:color="auto"/>
        <w:bottom w:val="none" w:sz="0" w:space="0" w:color="auto"/>
        <w:right w:val="none" w:sz="0" w:space="0" w:color="auto"/>
      </w:divBdr>
    </w:div>
    <w:div w:id="415900527">
      <w:bodyDiv w:val="1"/>
      <w:marLeft w:val="0"/>
      <w:marRight w:val="0"/>
      <w:marTop w:val="0"/>
      <w:marBottom w:val="0"/>
      <w:divBdr>
        <w:top w:val="none" w:sz="0" w:space="0" w:color="auto"/>
        <w:left w:val="none" w:sz="0" w:space="0" w:color="auto"/>
        <w:bottom w:val="none" w:sz="0" w:space="0" w:color="auto"/>
        <w:right w:val="none" w:sz="0" w:space="0" w:color="auto"/>
      </w:divBdr>
    </w:div>
    <w:div w:id="417680557">
      <w:bodyDiv w:val="1"/>
      <w:marLeft w:val="0"/>
      <w:marRight w:val="0"/>
      <w:marTop w:val="0"/>
      <w:marBottom w:val="0"/>
      <w:divBdr>
        <w:top w:val="none" w:sz="0" w:space="0" w:color="auto"/>
        <w:left w:val="none" w:sz="0" w:space="0" w:color="auto"/>
        <w:bottom w:val="none" w:sz="0" w:space="0" w:color="auto"/>
        <w:right w:val="none" w:sz="0" w:space="0" w:color="auto"/>
      </w:divBdr>
    </w:div>
    <w:div w:id="427501268">
      <w:bodyDiv w:val="1"/>
      <w:marLeft w:val="0"/>
      <w:marRight w:val="0"/>
      <w:marTop w:val="0"/>
      <w:marBottom w:val="0"/>
      <w:divBdr>
        <w:top w:val="none" w:sz="0" w:space="0" w:color="auto"/>
        <w:left w:val="none" w:sz="0" w:space="0" w:color="auto"/>
        <w:bottom w:val="none" w:sz="0" w:space="0" w:color="auto"/>
        <w:right w:val="none" w:sz="0" w:space="0" w:color="auto"/>
      </w:divBdr>
    </w:div>
    <w:div w:id="443111444">
      <w:bodyDiv w:val="1"/>
      <w:marLeft w:val="0"/>
      <w:marRight w:val="0"/>
      <w:marTop w:val="0"/>
      <w:marBottom w:val="0"/>
      <w:divBdr>
        <w:top w:val="none" w:sz="0" w:space="0" w:color="auto"/>
        <w:left w:val="none" w:sz="0" w:space="0" w:color="auto"/>
        <w:bottom w:val="none" w:sz="0" w:space="0" w:color="auto"/>
        <w:right w:val="none" w:sz="0" w:space="0" w:color="auto"/>
      </w:divBdr>
    </w:div>
    <w:div w:id="446242156">
      <w:bodyDiv w:val="1"/>
      <w:marLeft w:val="0"/>
      <w:marRight w:val="0"/>
      <w:marTop w:val="0"/>
      <w:marBottom w:val="0"/>
      <w:divBdr>
        <w:top w:val="none" w:sz="0" w:space="0" w:color="auto"/>
        <w:left w:val="none" w:sz="0" w:space="0" w:color="auto"/>
        <w:bottom w:val="none" w:sz="0" w:space="0" w:color="auto"/>
        <w:right w:val="none" w:sz="0" w:space="0" w:color="auto"/>
      </w:divBdr>
    </w:div>
    <w:div w:id="464081985">
      <w:bodyDiv w:val="1"/>
      <w:marLeft w:val="0"/>
      <w:marRight w:val="0"/>
      <w:marTop w:val="0"/>
      <w:marBottom w:val="0"/>
      <w:divBdr>
        <w:top w:val="none" w:sz="0" w:space="0" w:color="auto"/>
        <w:left w:val="none" w:sz="0" w:space="0" w:color="auto"/>
        <w:bottom w:val="none" w:sz="0" w:space="0" w:color="auto"/>
        <w:right w:val="none" w:sz="0" w:space="0" w:color="auto"/>
      </w:divBdr>
    </w:div>
    <w:div w:id="480774407">
      <w:bodyDiv w:val="1"/>
      <w:marLeft w:val="0"/>
      <w:marRight w:val="0"/>
      <w:marTop w:val="0"/>
      <w:marBottom w:val="0"/>
      <w:divBdr>
        <w:top w:val="none" w:sz="0" w:space="0" w:color="auto"/>
        <w:left w:val="none" w:sz="0" w:space="0" w:color="auto"/>
        <w:bottom w:val="none" w:sz="0" w:space="0" w:color="auto"/>
        <w:right w:val="none" w:sz="0" w:space="0" w:color="auto"/>
      </w:divBdr>
    </w:div>
    <w:div w:id="490102222">
      <w:bodyDiv w:val="1"/>
      <w:marLeft w:val="0"/>
      <w:marRight w:val="0"/>
      <w:marTop w:val="0"/>
      <w:marBottom w:val="0"/>
      <w:divBdr>
        <w:top w:val="none" w:sz="0" w:space="0" w:color="auto"/>
        <w:left w:val="none" w:sz="0" w:space="0" w:color="auto"/>
        <w:bottom w:val="none" w:sz="0" w:space="0" w:color="auto"/>
        <w:right w:val="none" w:sz="0" w:space="0" w:color="auto"/>
      </w:divBdr>
    </w:div>
    <w:div w:id="504636961">
      <w:bodyDiv w:val="1"/>
      <w:marLeft w:val="0"/>
      <w:marRight w:val="0"/>
      <w:marTop w:val="0"/>
      <w:marBottom w:val="0"/>
      <w:divBdr>
        <w:top w:val="none" w:sz="0" w:space="0" w:color="auto"/>
        <w:left w:val="none" w:sz="0" w:space="0" w:color="auto"/>
        <w:bottom w:val="none" w:sz="0" w:space="0" w:color="auto"/>
        <w:right w:val="none" w:sz="0" w:space="0" w:color="auto"/>
      </w:divBdr>
    </w:div>
    <w:div w:id="528564066">
      <w:bodyDiv w:val="1"/>
      <w:marLeft w:val="0"/>
      <w:marRight w:val="0"/>
      <w:marTop w:val="0"/>
      <w:marBottom w:val="0"/>
      <w:divBdr>
        <w:top w:val="none" w:sz="0" w:space="0" w:color="auto"/>
        <w:left w:val="none" w:sz="0" w:space="0" w:color="auto"/>
        <w:bottom w:val="none" w:sz="0" w:space="0" w:color="auto"/>
        <w:right w:val="none" w:sz="0" w:space="0" w:color="auto"/>
      </w:divBdr>
    </w:div>
    <w:div w:id="577862712">
      <w:bodyDiv w:val="1"/>
      <w:marLeft w:val="0"/>
      <w:marRight w:val="0"/>
      <w:marTop w:val="0"/>
      <w:marBottom w:val="0"/>
      <w:divBdr>
        <w:top w:val="none" w:sz="0" w:space="0" w:color="auto"/>
        <w:left w:val="none" w:sz="0" w:space="0" w:color="auto"/>
        <w:bottom w:val="none" w:sz="0" w:space="0" w:color="auto"/>
        <w:right w:val="none" w:sz="0" w:space="0" w:color="auto"/>
      </w:divBdr>
    </w:div>
    <w:div w:id="594438015">
      <w:bodyDiv w:val="1"/>
      <w:marLeft w:val="0"/>
      <w:marRight w:val="0"/>
      <w:marTop w:val="0"/>
      <w:marBottom w:val="0"/>
      <w:divBdr>
        <w:top w:val="none" w:sz="0" w:space="0" w:color="auto"/>
        <w:left w:val="none" w:sz="0" w:space="0" w:color="auto"/>
        <w:bottom w:val="none" w:sz="0" w:space="0" w:color="auto"/>
        <w:right w:val="none" w:sz="0" w:space="0" w:color="auto"/>
      </w:divBdr>
    </w:div>
    <w:div w:id="605038351">
      <w:bodyDiv w:val="1"/>
      <w:marLeft w:val="0"/>
      <w:marRight w:val="0"/>
      <w:marTop w:val="0"/>
      <w:marBottom w:val="0"/>
      <w:divBdr>
        <w:top w:val="none" w:sz="0" w:space="0" w:color="auto"/>
        <w:left w:val="none" w:sz="0" w:space="0" w:color="auto"/>
        <w:bottom w:val="none" w:sz="0" w:space="0" w:color="auto"/>
        <w:right w:val="none" w:sz="0" w:space="0" w:color="auto"/>
      </w:divBdr>
    </w:div>
    <w:div w:id="613023793">
      <w:bodyDiv w:val="1"/>
      <w:marLeft w:val="0"/>
      <w:marRight w:val="0"/>
      <w:marTop w:val="0"/>
      <w:marBottom w:val="0"/>
      <w:divBdr>
        <w:top w:val="none" w:sz="0" w:space="0" w:color="auto"/>
        <w:left w:val="none" w:sz="0" w:space="0" w:color="auto"/>
        <w:bottom w:val="none" w:sz="0" w:space="0" w:color="auto"/>
        <w:right w:val="none" w:sz="0" w:space="0" w:color="auto"/>
      </w:divBdr>
    </w:div>
    <w:div w:id="642008041">
      <w:bodyDiv w:val="1"/>
      <w:marLeft w:val="0"/>
      <w:marRight w:val="0"/>
      <w:marTop w:val="0"/>
      <w:marBottom w:val="0"/>
      <w:divBdr>
        <w:top w:val="none" w:sz="0" w:space="0" w:color="auto"/>
        <w:left w:val="none" w:sz="0" w:space="0" w:color="auto"/>
        <w:bottom w:val="none" w:sz="0" w:space="0" w:color="auto"/>
        <w:right w:val="none" w:sz="0" w:space="0" w:color="auto"/>
      </w:divBdr>
    </w:div>
    <w:div w:id="654912823">
      <w:bodyDiv w:val="1"/>
      <w:marLeft w:val="0"/>
      <w:marRight w:val="0"/>
      <w:marTop w:val="0"/>
      <w:marBottom w:val="0"/>
      <w:divBdr>
        <w:top w:val="none" w:sz="0" w:space="0" w:color="auto"/>
        <w:left w:val="none" w:sz="0" w:space="0" w:color="auto"/>
        <w:bottom w:val="none" w:sz="0" w:space="0" w:color="auto"/>
        <w:right w:val="none" w:sz="0" w:space="0" w:color="auto"/>
      </w:divBdr>
    </w:div>
    <w:div w:id="665014497">
      <w:bodyDiv w:val="1"/>
      <w:marLeft w:val="0"/>
      <w:marRight w:val="0"/>
      <w:marTop w:val="0"/>
      <w:marBottom w:val="0"/>
      <w:divBdr>
        <w:top w:val="none" w:sz="0" w:space="0" w:color="auto"/>
        <w:left w:val="none" w:sz="0" w:space="0" w:color="auto"/>
        <w:bottom w:val="none" w:sz="0" w:space="0" w:color="auto"/>
        <w:right w:val="none" w:sz="0" w:space="0" w:color="auto"/>
      </w:divBdr>
    </w:div>
    <w:div w:id="691371731">
      <w:bodyDiv w:val="1"/>
      <w:marLeft w:val="0"/>
      <w:marRight w:val="0"/>
      <w:marTop w:val="0"/>
      <w:marBottom w:val="0"/>
      <w:divBdr>
        <w:top w:val="none" w:sz="0" w:space="0" w:color="auto"/>
        <w:left w:val="none" w:sz="0" w:space="0" w:color="auto"/>
        <w:bottom w:val="none" w:sz="0" w:space="0" w:color="auto"/>
        <w:right w:val="none" w:sz="0" w:space="0" w:color="auto"/>
      </w:divBdr>
    </w:div>
    <w:div w:id="696390107">
      <w:bodyDiv w:val="1"/>
      <w:marLeft w:val="0"/>
      <w:marRight w:val="0"/>
      <w:marTop w:val="0"/>
      <w:marBottom w:val="0"/>
      <w:divBdr>
        <w:top w:val="none" w:sz="0" w:space="0" w:color="auto"/>
        <w:left w:val="none" w:sz="0" w:space="0" w:color="auto"/>
        <w:bottom w:val="none" w:sz="0" w:space="0" w:color="auto"/>
        <w:right w:val="none" w:sz="0" w:space="0" w:color="auto"/>
      </w:divBdr>
    </w:div>
    <w:div w:id="727337003">
      <w:bodyDiv w:val="1"/>
      <w:marLeft w:val="0"/>
      <w:marRight w:val="0"/>
      <w:marTop w:val="0"/>
      <w:marBottom w:val="0"/>
      <w:divBdr>
        <w:top w:val="none" w:sz="0" w:space="0" w:color="auto"/>
        <w:left w:val="none" w:sz="0" w:space="0" w:color="auto"/>
        <w:bottom w:val="none" w:sz="0" w:space="0" w:color="auto"/>
        <w:right w:val="none" w:sz="0" w:space="0" w:color="auto"/>
      </w:divBdr>
    </w:div>
    <w:div w:id="749816551">
      <w:bodyDiv w:val="1"/>
      <w:marLeft w:val="0"/>
      <w:marRight w:val="0"/>
      <w:marTop w:val="0"/>
      <w:marBottom w:val="0"/>
      <w:divBdr>
        <w:top w:val="none" w:sz="0" w:space="0" w:color="auto"/>
        <w:left w:val="none" w:sz="0" w:space="0" w:color="auto"/>
        <w:bottom w:val="none" w:sz="0" w:space="0" w:color="auto"/>
        <w:right w:val="none" w:sz="0" w:space="0" w:color="auto"/>
      </w:divBdr>
    </w:div>
    <w:div w:id="751125799">
      <w:bodyDiv w:val="1"/>
      <w:marLeft w:val="0"/>
      <w:marRight w:val="0"/>
      <w:marTop w:val="0"/>
      <w:marBottom w:val="0"/>
      <w:divBdr>
        <w:top w:val="none" w:sz="0" w:space="0" w:color="auto"/>
        <w:left w:val="none" w:sz="0" w:space="0" w:color="auto"/>
        <w:bottom w:val="none" w:sz="0" w:space="0" w:color="auto"/>
        <w:right w:val="none" w:sz="0" w:space="0" w:color="auto"/>
      </w:divBdr>
    </w:div>
    <w:div w:id="780416707">
      <w:bodyDiv w:val="1"/>
      <w:marLeft w:val="0"/>
      <w:marRight w:val="0"/>
      <w:marTop w:val="0"/>
      <w:marBottom w:val="0"/>
      <w:divBdr>
        <w:top w:val="none" w:sz="0" w:space="0" w:color="auto"/>
        <w:left w:val="none" w:sz="0" w:space="0" w:color="auto"/>
        <w:bottom w:val="none" w:sz="0" w:space="0" w:color="auto"/>
        <w:right w:val="none" w:sz="0" w:space="0" w:color="auto"/>
      </w:divBdr>
    </w:div>
    <w:div w:id="835147969">
      <w:bodyDiv w:val="1"/>
      <w:marLeft w:val="0"/>
      <w:marRight w:val="0"/>
      <w:marTop w:val="0"/>
      <w:marBottom w:val="0"/>
      <w:divBdr>
        <w:top w:val="none" w:sz="0" w:space="0" w:color="auto"/>
        <w:left w:val="none" w:sz="0" w:space="0" w:color="auto"/>
        <w:bottom w:val="none" w:sz="0" w:space="0" w:color="auto"/>
        <w:right w:val="none" w:sz="0" w:space="0" w:color="auto"/>
      </w:divBdr>
    </w:div>
    <w:div w:id="867642563">
      <w:bodyDiv w:val="1"/>
      <w:marLeft w:val="0"/>
      <w:marRight w:val="0"/>
      <w:marTop w:val="0"/>
      <w:marBottom w:val="0"/>
      <w:divBdr>
        <w:top w:val="none" w:sz="0" w:space="0" w:color="auto"/>
        <w:left w:val="none" w:sz="0" w:space="0" w:color="auto"/>
        <w:bottom w:val="none" w:sz="0" w:space="0" w:color="auto"/>
        <w:right w:val="none" w:sz="0" w:space="0" w:color="auto"/>
      </w:divBdr>
    </w:div>
    <w:div w:id="883298312">
      <w:bodyDiv w:val="1"/>
      <w:marLeft w:val="0"/>
      <w:marRight w:val="0"/>
      <w:marTop w:val="0"/>
      <w:marBottom w:val="0"/>
      <w:divBdr>
        <w:top w:val="none" w:sz="0" w:space="0" w:color="auto"/>
        <w:left w:val="none" w:sz="0" w:space="0" w:color="auto"/>
        <w:bottom w:val="none" w:sz="0" w:space="0" w:color="auto"/>
        <w:right w:val="none" w:sz="0" w:space="0" w:color="auto"/>
      </w:divBdr>
    </w:div>
    <w:div w:id="893934718">
      <w:bodyDiv w:val="1"/>
      <w:marLeft w:val="0"/>
      <w:marRight w:val="0"/>
      <w:marTop w:val="0"/>
      <w:marBottom w:val="0"/>
      <w:divBdr>
        <w:top w:val="none" w:sz="0" w:space="0" w:color="auto"/>
        <w:left w:val="none" w:sz="0" w:space="0" w:color="auto"/>
        <w:bottom w:val="none" w:sz="0" w:space="0" w:color="auto"/>
        <w:right w:val="none" w:sz="0" w:space="0" w:color="auto"/>
      </w:divBdr>
    </w:div>
    <w:div w:id="896741555">
      <w:bodyDiv w:val="1"/>
      <w:marLeft w:val="0"/>
      <w:marRight w:val="0"/>
      <w:marTop w:val="0"/>
      <w:marBottom w:val="0"/>
      <w:divBdr>
        <w:top w:val="none" w:sz="0" w:space="0" w:color="auto"/>
        <w:left w:val="none" w:sz="0" w:space="0" w:color="auto"/>
        <w:bottom w:val="none" w:sz="0" w:space="0" w:color="auto"/>
        <w:right w:val="none" w:sz="0" w:space="0" w:color="auto"/>
      </w:divBdr>
    </w:div>
    <w:div w:id="905065550">
      <w:bodyDiv w:val="1"/>
      <w:marLeft w:val="0"/>
      <w:marRight w:val="0"/>
      <w:marTop w:val="0"/>
      <w:marBottom w:val="0"/>
      <w:divBdr>
        <w:top w:val="none" w:sz="0" w:space="0" w:color="auto"/>
        <w:left w:val="none" w:sz="0" w:space="0" w:color="auto"/>
        <w:bottom w:val="none" w:sz="0" w:space="0" w:color="auto"/>
        <w:right w:val="none" w:sz="0" w:space="0" w:color="auto"/>
      </w:divBdr>
    </w:div>
    <w:div w:id="924801457">
      <w:bodyDiv w:val="1"/>
      <w:marLeft w:val="0"/>
      <w:marRight w:val="0"/>
      <w:marTop w:val="0"/>
      <w:marBottom w:val="0"/>
      <w:divBdr>
        <w:top w:val="none" w:sz="0" w:space="0" w:color="auto"/>
        <w:left w:val="none" w:sz="0" w:space="0" w:color="auto"/>
        <w:bottom w:val="none" w:sz="0" w:space="0" w:color="auto"/>
        <w:right w:val="none" w:sz="0" w:space="0" w:color="auto"/>
      </w:divBdr>
    </w:div>
    <w:div w:id="936710717">
      <w:bodyDiv w:val="1"/>
      <w:marLeft w:val="0"/>
      <w:marRight w:val="0"/>
      <w:marTop w:val="0"/>
      <w:marBottom w:val="0"/>
      <w:divBdr>
        <w:top w:val="none" w:sz="0" w:space="0" w:color="auto"/>
        <w:left w:val="none" w:sz="0" w:space="0" w:color="auto"/>
        <w:bottom w:val="none" w:sz="0" w:space="0" w:color="auto"/>
        <w:right w:val="none" w:sz="0" w:space="0" w:color="auto"/>
      </w:divBdr>
    </w:div>
    <w:div w:id="949361605">
      <w:bodyDiv w:val="1"/>
      <w:marLeft w:val="0"/>
      <w:marRight w:val="0"/>
      <w:marTop w:val="0"/>
      <w:marBottom w:val="0"/>
      <w:divBdr>
        <w:top w:val="none" w:sz="0" w:space="0" w:color="auto"/>
        <w:left w:val="none" w:sz="0" w:space="0" w:color="auto"/>
        <w:bottom w:val="none" w:sz="0" w:space="0" w:color="auto"/>
        <w:right w:val="none" w:sz="0" w:space="0" w:color="auto"/>
      </w:divBdr>
    </w:div>
    <w:div w:id="960840138">
      <w:bodyDiv w:val="1"/>
      <w:marLeft w:val="0"/>
      <w:marRight w:val="0"/>
      <w:marTop w:val="0"/>
      <w:marBottom w:val="0"/>
      <w:divBdr>
        <w:top w:val="none" w:sz="0" w:space="0" w:color="auto"/>
        <w:left w:val="none" w:sz="0" w:space="0" w:color="auto"/>
        <w:bottom w:val="none" w:sz="0" w:space="0" w:color="auto"/>
        <w:right w:val="none" w:sz="0" w:space="0" w:color="auto"/>
      </w:divBdr>
    </w:div>
    <w:div w:id="961687946">
      <w:bodyDiv w:val="1"/>
      <w:marLeft w:val="0"/>
      <w:marRight w:val="0"/>
      <w:marTop w:val="0"/>
      <w:marBottom w:val="0"/>
      <w:divBdr>
        <w:top w:val="none" w:sz="0" w:space="0" w:color="auto"/>
        <w:left w:val="none" w:sz="0" w:space="0" w:color="auto"/>
        <w:bottom w:val="none" w:sz="0" w:space="0" w:color="auto"/>
        <w:right w:val="none" w:sz="0" w:space="0" w:color="auto"/>
      </w:divBdr>
    </w:div>
    <w:div w:id="972099887">
      <w:bodyDiv w:val="1"/>
      <w:marLeft w:val="0"/>
      <w:marRight w:val="0"/>
      <w:marTop w:val="0"/>
      <w:marBottom w:val="0"/>
      <w:divBdr>
        <w:top w:val="none" w:sz="0" w:space="0" w:color="auto"/>
        <w:left w:val="none" w:sz="0" w:space="0" w:color="auto"/>
        <w:bottom w:val="none" w:sz="0" w:space="0" w:color="auto"/>
        <w:right w:val="none" w:sz="0" w:space="0" w:color="auto"/>
      </w:divBdr>
    </w:div>
    <w:div w:id="976640769">
      <w:bodyDiv w:val="1"/>
      <w:marLeft w:val="0"/>
      <w:marRight w:val="0"/>
      <w:marTop w:val="0"/>
      <w:marBottom w:val="0"/>
      <w:divBdr>
        <w:top w:val="none" w:sz="0" w:space="0" w:color="auto"/>
        <w:left w:val="none" w:sz="0" w:space="0" w:color="auto"/>
        <w:bottom w:val="none" w:sz="0" w:space="0" w:color="auto"/>
        <w:right w:val="none" w:sz="0" w:space="0" w:color="auto"/>
      </w:divBdr>
    </w:div>
    <w:div w:id="980618882">
      <w:bodyDiv w:val="1"/>
      <w:marLeft w:val="0"/>
      <w:marRight w:val="0"/>
      <w:marTop w:val="0"/>
      <w:marBottom w:val="0"/>
      <w:divBdr>
        <w:top w:val="none" w:sz="0" w:space="0" w:color="auto"/>
        <w:left w:val="none" w:sz="0" w:space="0" w:color="auto"/>
        <w:bottom w:val="none" w:sz="0" w:space="0" w:color="auto"/>
        <w:right w:val="none" w:sz="0" w:space="0" w:color="auto"/>
      </w:divBdr>
    </w:div>
    <w:div w:id="982925653">
      <w:bodyDiv w:val="1"/>
      <w:marLeft w:val="0"/>
      <w:marRight w:val="0"/>
      <w:marTop w:val="0"/>
      <w:marBottom w:val="0"/>
      <w:divBdr>
        <w:top w:val="none" w:sz="0" w:space="0" w:color="auto"/>
        <w:left w:val="none" w:sz="0" w:space="0" w:color="auto"/>
        <w:bottom w:val="none" w:sz="0" w:space="0" w:color="auto"/>
        <w:right w:val="none" w:sz="0" w:space="0" w:color="auto"/>
      </w:divBdr>
    </w:div>
    <w:div w:id="984704418">
      <w:bodyDiv w:val="1"/>
      <w:marLeft w:val="0"/>
      <w:marRight w:val="0"/>
      <w:marTop w:val="0"/>
      <w:marBottom w:val="0"/>
      <w:divBdr>
        <w:top w:val="none" w:sz="0" w:space="0" w:color="auto"/>
        <w:left w:val="none" w:sz="0" w:space="0" w:color="auto"/>
        <w:bottom w:val="none" w:sz="0" w:space="0" w:color="auto"/>
        <w:right w:val="none" w:sz="0" w:space="0" w:color="auto"/>
      </w:divBdr>
    </w:div>
    <w:div w:id="986056084">
      <w:bodyDiv w:val="1"/>
      <w:marLeft w:val="0"/>
      <w:marRight w:val="0"/>
      <w:marTop w:val="0"/>
      <w:marBottom w:val="0"/>
      <w:divBdr>
        <w:top w:val="none" w:sz="0" w:space="0" w:color="auto"/>
        <w:left w:val="none" w:sz="0" w:space="0" w:color="auto"/>
        <w:bottom w:val="none" w:sz="0" w:space="0" w:color="auto"/>
        <w:right w:val="none" w:sz="0" w:space="0" w:color="auto"/>
      </w:divBdr>
    </w:div>
    <w:div w:id="1005210919">
      <w:bodyDiv w:val="1"/>
      <w:marLeft w:val="0"/>
      <w:marRight w:val="0"/>
      <w:marTop w:val="0"/>
      <w:marBottom w:val="0"/>
      <w:divBdr>
        <w:top w:val="none" w:sz="0" w:space="0" w:color="auto"/>
        <w:left w:val="none" w:sz="0" w:space="0" w:color="auto"/>
        <w:bottom w:val="none" w:sz="0" w:space="0" w:color="auto"/>
        <w:right w:val="none" w:sz="0" w:space="0" w:color="auto"/>
      </w:divBdr>
    </w:div>
    <w:div w:id="1018773734">
      <w:bodyDiv w:val="1"/>
      <w:marLeft w:val="0"/>
      <w:marRight w:val="0"/>
      <w:marTop w:val="0"/>
      <w:marBottom w:val="0"/>
      <w:divBdr>
        <w:top w:val="none" w:sz="0" w:space="0" w:color="auto"/>
        <w:left w:val="none" w:sz="0" w:space="0" w:color="auto"/>
        <w:bottom w:val="none" w:sz="0" w:space="0" w:color="auto"/>
        <w:right w:val="none" w:sz="0" w:space="0" w:color="auto"/>
      </w:divBdr>
    </w:div>
    <w:div w:id="1056124731">
      <w:bodyDiv w:val="1"/>
      <w:marLeft w:val="0"/>
      <w:marRight w:val="0"/>
      <w:marTop w:val="0"/>
      <w:marBottom w:val="0"/>
      <w:divBdr>
        <w:top w:val="none" w:sz="0" w:space="0" w:color="auto"/>
        <w:left w:val="none" w:sz="0" w:space="0" w:color="auto"/>
        <w:bottom w:val="none" w:sz="0" w:space="0" w:color="auto"/>
        <w:right w:val="none" w:sz="0" w:space="0" w:color="auto"/>
      </w:divBdr>
    </w:div>
    <w:div w:id="1061636114">
      <w:bodyDiv w:val="1"/>
      <w:marLeft w:val="0"/>
      <w:marRight w:val="0"/>
      <w:marTop w:val="0"/>
      <w:marBottom w:val="0"/>
      <w:divBdr>
        <w:top w:val="none" w:sz="0" w:space="0" w:color="auto"/>
        <w:left w:val="none" w:sz="0" w:space="0" w:color="auto"/>
        <w:bottom w:val="none" w:sz="0" w:space="0" w:color="auto"/>
        <w:right w:val="none" w:sz="0" w:space="0" w:color="auto"/>
      </w:divBdr>
    </w:div>
    <w:div w:id="1092437491">
      <w:bodyDiv w:val="1"/>
      <w:marLeft w:val="0"/>
      <w:marRight w:val="0"/>
      <w:marTop w:val="0"/>
      <w:marBottom w:val="0"/>
      <w:divBdr>
        <w:top w:val="none" w:sz="0" w:space="0" w:color="auto"/>
        <w:left w:val="none" w:sz="0" w:space="0" w:color="auto"/>
        <w:bottom w:val="none" w:sz="0" w:space="0" w:color="auto"/>
        <w:right w:val="none" w:sz="0" w:space="0" w:color="auto"/>
      </w:divBdr>
    </w:div>
    <w:div w:id="1099178751">
      <w:bodyDiv w:val="1"/>
      <w:marLeft w:val="0"/>
      <w:marRight w:val="0"/>
      <w:marTop w:val="0"/>
      <w:marBottom w:val="0"/>
      <w:divBdr>
        <w:top w:val="none" w:sz="0" w:space="0" w:color="auto"/>
        <w:left w:val="none" w:sz="0" w:space="0" w:color="auto"/>
        <w:bottom w:val="none" w:sz="0" w:space="0" w:color="auto"/>
        <w:right w:val="none" w:sz="0" w:space="0" w:color="auto"/>
      </w:divBdr>
    </w:div>
    <w:div w:id="1104105723">
      <w:bodyDiv w:val="1"/>
      <w:marLeft w:val="0"/>
      <w:marRight w:val="0"/>
      <w:marTop w:val="0"/>
      <w:marBottom w:val="0"/>
      <w:divBdr>
        <w:top w:val="none" w:sz="0" w:space="0" w:color="auto"/>
        <w:left w:val="none" w:sz="0" w:space="0" w:color="auto"/>
        <w:bottom w:val="none" w:sz="0" w:space="0" w:color="auto"/>
        <w:right w:val="none" w:sz="0" w:space="0" w:color="auto"/>
      </w:divBdr>
    </w:div>
    <w:div w:id="1107507727">
      <w:bodyDiv w:val="1"/>
      <w:marLeft w:val="0"/>
      <w:marRight w:val="0"/>
      <w:marTop w:val="0"/>
      <w:marBottom w:val="0"/>
      <w:divBdr>
        <w:top w:val="none" w:sz="0" w:space="0" w:color="auto"/>
        <w:left w:val="none" w:sz="0" w:space="0" w:color="auto"/>
        <w:bottom w:val="none" w:sz="0" w:space="0" w:color="auto"/>
        <w:right w:val="none" w:sz="0" w:space="0" w:color="auto"/>
      </w:divBdr>
    </w:div>
    <w:div w:id="1112163387">
      <w:bodyDiv w:val="1"/>
      <w:marLeft w:val="0"/>
      <w:marRight w:val="0"/>
      <w:marTop w:val="0"/>
      <w:marBottom w:val="0"/>
      <w:divBdr>
        <w:top w:val="none" w:sz="0" w:space="0" w:color="auto"/>
        <w:left w:val="none" w:sz="0" w:space="0" w:color="auto"/>
        <w:bottom w:val="none" w:sz="0" w:space="0" w:color="auto"/>
        <w:right w:val="none" w:sz="0" w:space="0" w:color="auto"/>
      </w:divBdr>
    </w:div>
    <w:div w:id="1114666554">
      <w:bodyDiv w:val="1"/>
      <w:marLeft w:val="0"/>
      <w:marRight w:val="0"/>
      <w:marTop w:val="0"/>
      <w:marBottom w:val="0"/>
      <w:divBdr>
        <w:top w:val="none" w:sz="0" w:space="0" w:color="auto"/>
        <w:left w:val="none" w:sz="0" w:space="0" w:color="auto"/>
        <w:bottom w:val="none" w:sz="0" w:space="0" w:color="auto"/>
        <w:right w:val="none" w:sz="0" w:space="0" w:color="auto"/>
      </w:divBdr>
    </w:div>
    <w:div w:id="1168328244">
      <w:bodyDiv w:val="1"/>
      <w:marLeft w:val="0"/>
      <w:marRight w:val="0"/>
      <w:marTop w:val="0"/>
      <w:marBottom w:val="0"/>
      <w:divBdr>
        <w:top w:val="none" w:sz="0" w:space="0" w:color="auto"/>
        <w:left w:val="none" w:sz="0" w:space="0" w:color="auto"/>
        <w:bottom w:val="none" w:sz="0" w:space="0" w:color="auto"/>
        <w:right w:val="none" w:sz="0" w:space="0" w:color="auto"/>
      </w:divBdr>
    </w:div>
    <w:div w:id="1190685414">
      <w:bodyDiv w:val="1"/>
      <w:marLeft w:val="0"/>
      <w:marRight w:val="0"/>
      <w:marTop w:val="0"/>
      <w:marBottom w:val="0"/>
      <w:divBdr>
        <w:top w:val="none" w:sz="0" w:space="0" w:color="auto"/>
        <w:left w:val="none" w:sz="0" w:space="0" w:color="auto"/>
        <w:bottom w:val="none" w:sz="0" w:space="0" w:color="auto"/>
        <w:right w:val="none" w:sz="0" w:space="0" w:color="auto"/>
      </w:divBdr>
    </w:div>
    <w:div w:id="1201162780">
      <w:bodyDiv w:val="1"/>
      <w:marLeft w:val="0"/>
      <w:marRight w:val="0"/>
      <w:marTop w:val="0"/>
      <w:marBottom w:val="0"/>
      <w:divBdr>
        <w:top w:val="none" w:sz="0" w:space="0" w:color="auto"/>
        <w:left w:val="none" w:sz="0" w:space="0" w:color="auto"/>
        <w:bottom w:val="none" w:sz="0" w:space="0" w:color="auto"/>
        <w:right w:val="none" w:sz="0" w:space="0" w:color="auto"/>
      </w:divBdr>
    </w:div>
    <w:div w:id="1206675993">
      <w:bodyDiv w:val="1"/>
      <w:marLeft w:val="0"/>
      <w:marRight w:val="0"/>
      <w:marTop w:val="0"/>
      <w:marBottom w:val="0"/>
      <w:divBdr>
        <w:top w:val="none" w:sz="0" w:space="0" w:color="auto"/>
        <w:left w:val="none" w:sz="0" w:space="0" w:color="auto"/>
        <w:bottom w:val="none" w:sz="0" w:space="0" w:color="auto"/>
        <w:right w:val="none" w:sz="0" w:space="0" w:color="auto"/>
      </w:divBdr>
    </w:div>
    <w:div w:id="1209611190">
      <w:bodyDiv w:val="1"/>
      <w:marLeft w:val="0"/>
      <w:marRight w:val="0"/>
      <w:marTop w:val="0"/>
      <w:marBottom w:val="0"/>
      <w:divBdr>
        <w:top w:val="none" w:sz="0" w:space="0" w:color="auto"/>
        <w:left w:val="none" w:sz="0" w:space="0" w:color="auto"/>
        <w:bottom w:val="none" w:sz="0" w:space="0" w:color="auto"/>
        <w:right w:val="none" w:sz="0" w:space="0" w:color="auto"/>
      </w:divBdr>
    </w:div>
    <w:div w:id="1216745545">
      <w:bodyDiv w:val="1"/>
      <w:marLeft w:val="0"/>
      <w:marRight w:val="0"/>
      <w:marTop w:val="0"/>
      <w:marBottom w:val="0"/>
      <w:divBdr>
        <w:top w:val="none" w:sz="0" w:space="0" w:color="auto"/>
        <w:left w:val="none" w:sz="0" w:space="0" w:color="auto"/>
        <w:bottom w:val="none" w:sz="0" w:space="0" w:color="auto"/>
        <w:right w:val="none" w:sz="0" w:space="0" w:color="auto"/>
      </w:divBdr>
    </w:div>
    <w:div w:id="1224562172">
      <w:bodyDiv w:val="1"/>
      <w:marLeft w:val="0"/>
      <w:marRight w:val="0"/>
      <w:marTop w:val="0"/>
      <w:marBottom w:val="0"/>
      <w:divBdr>
        <w:top w:val="none" w:sz="0" w:space="0" w:color="auto"/>
        <w:left w:val="none" w:sz="0" w:space="0" w:color="auto"/>
        <w:bottom w:val="none" w:sz="0" w:space="0" w:color="auto"/>
        <w:right w:val="none" w:sz="0" w:space="0" w:color="auto"/>
      </w:divBdr>
    </w:div>
    <w:div w:id="1248230067">
      <w:bodyDiv w:val="1"/>
      <w:marLeft w:val="0"/>
      <w:marRight w:val="0"/>
      <w:marTop w:val="0"/>
      <w:marBottom w:val="0"/>
      <w:divBdr>
        <w:top w:val="none" w:sz="0" w:space="0" w:color="auto"/>
        <w:left w:val="none" w:sz="0" w:space="0" w:color="auto"/>
        <w:bottom w:val="none" w:sz="0" w:space="0" w:color="auto"/>
        <w:right w:val="none" w:sz="0" w:space="0" w:color="auto"/>
      </w:divBdr>
    </w:div>
    <w:div w:id="1270963723">
      <w:bodyDiv w:val="1"/>
      <w:marLeft w:val="0"/>
      <w:marRight w:val="0"/>
      <w:marTop w:val="0"/>
      <w:marBottom w:val="0"/>
      <w:divBdr>
        <w:top w:val="none" w:sz="0" w:space="0" w:color="auto"/>
        <w:left w:val="none" w:sz="0" w:space="0" w:color="auto"/>
        <w:bottom w:val="none" w:sz="0" w:space="0" w:color="auto"/>
        <w:right w:val="none" w:sz="0" w:space="0" w:color="auto"/>
      </w:divBdr>
    </w:div>
    <w:div w:id="1273585791">
      <w:bodyDiv w:val="1"/>
      <w:marLeft w:val="0"/>
      <w:marRight w:val="0"/>
      <w:marTop w:val="0"/>
      <w:marBottom w:val="0"/>
      <w:divBdr>
        <w:top w:val="none" w:sz="0" w:space="0" w:color="auto"/>
        <w:left w:val="none" w:sz="0" w:space="0" w:color="auto"/>
        <w:bottom w:val="none" w:sz="0" w:space="0" w:color="auto"/>
        <w:right w:val="none" w:sz="0" w:space="0" w:color="auto"/>
      </w:divBdr>
    </w:div>
    <w:div w:id="1280644649">
      <w:bodyDiv w:val="1"/>
      <w:marLeft w:val="0"/>
      <w:marRight w:val="0"/>
      <w:marTop w:val="0"/>
      <w:marBottom w:val="0"/>
      <w:divBdr>
        <w:top w:val="none" w:sz="0" w:space="0" w:color="auto"/>
        <w:left w:val="none" w:sz="0" w:space="0" w:color="auto"/>
        <w:bottom w:val="none" w:sz="0" w:space="0" w:color="auto"/>
        <w:right w:val="none" w:sz="0" w:space="0" w:color="auto"/>
      </w:divBdr>
    </w:div>
    <w:div w:id="1283221223">
      <w:bodyDiv w:val="1"/>
      <w:marLeft w:val="0"/>
      <w:marRight w:val="0"/>
      <w:marTop w:val="0"/>
      <w:marBottom w:val="0"/>
      <w:divBdr>
        <w:top w:val="none" w:sz="0" w:space="0" w:color="auto"/>
        <w:left w:val="none" w:sz="0" w:space="0" w:color="auto"/>
        <w:bottom w:val="none" w:sz="0" w:space="0" w:color="auto"/>
        <w:right w:val="none" w:sz="0" w:space="0" w:color="auto"/>
      </w:divBdr>
    </w:div>
    <w:div w:id="1300069159">
      <w:bodyDiv w:val="1"/>
      <w:marLeft w:val="0"/>
      <w:marRight w:val="0"/>
      <w:marTop w:val="0"/>
      <w:marBottom w:val="0"/>
      <w:divBdr>
        <w:top w:val="none" w:sz="0" w:space="0" w:color="auto"/>
        <w:left w:val="none" w:sz="0" w:space="0" w:color="auto"/>
        <w:bottom w:val="none" w:sz="0" w:space="0" w:color="auto"/>
        <w:right w:val="none" w:sz="0" w:space="0" w:color="auto"/>
      </w:divBdr>
    </w:div>
    <w:div w:id="1305621362">
      <w:bodyDiv w:val="1"/>
      <w:marLeft w:val="0"/>
      <w:marRight w:val="0"/>
      <w:marTop w:val="0"/>
      <w:marBottom w:val="0"/>
      <w:divBdr>
        <w:top w:val="none" w:sz="0" w:space="0" w:color="auto"/>
        <w:left w:val="none" w:sz="0" w:space="0" w:color="auto"/>
        <w:bottom w:val="none" w:sz="0" w:space="0" w:color="auto"/>
        <w:right w:val="none" w:sz="0" w:space="0" w:color="auto"/>
      </w:divBdr>
    </w:div>
    <w:div w:id="1319769837">
      <w:bodyDiv w:val="1"/>
      <w:marLeft w:val="0"/>
      <w:marRight w:val="0"/>
      <w:marTop w:val="0"/>
      <w:marBottom w:val="0"/>
      <w:divBdr>
        <w:top w:val="none" w:sz="0" w:space="0" w:color="auto"/>
        <w:left w:val="none" w:sz="0" w:space="0" w:color="auto"/>
        <w:bottom w:val="none" w:sz="0" w:space="0" w:color="auto"/>
        <w:right w:val="none" w:sz="0" w:space="0" w:color="auto"/>
      </w:divBdr>
    </w:div>
    <w:div w:id="1330333185">
      <w:bodyDiv w:val="1"/>
      <w:marLeft w:val="0"/>
      <w:marRight w:val="0"/>
      <w:marTop w:val="0"/>
      <w:marBottom w:val="0"/>
      <w:divBdr>
        <w:top w:val="none" w:sz="0" w:space="0" w:color="auto"/>
        <w:left w:val="none" w:sz="0" w:space="0" w:color="auto"/>
        <w:bottom w:val="none" w:sz="0" w:space="0" w:color="auto"/>
        <w:right w:val="none" w:sz="0" w:space="0" w:color="auto"/>
      </w:divBdr>
    </w:div>
    <w:div w:id="1334186001">
      <w:bodyDiv w:val="1"/>
      <w:marLeft w:val="0"/>
      <w:marRight w:val="0"/>
      <w:marTop w:val="0"/>
      <w:marBottom w:val="0"/>
      <w:divBdr>
        <w:top w:val="none" w:sz="0" w:space="0" w:color="auto"/>
        <w:left w:val="none" w:sz="0" w:space="0" w:color="auto"/>
        <w:bottom w:val="none" w:sz="0" w:space="0" w:color="auto"/>
        <w:right w:val="none" w:sz="0" w:space="0" w:color="auto"/>
      </w:divBdr>
    </w:div>
    <w:div w:id="1357586323">
      <w:bodyDiv w:val="1"/>
      <w:marLeft w:val="0"/>
      <w:marRight w:val="0"/>
      <w:marTop w:val="0"/>
      <w:marBottom w:val="0"/>
      <w:divBdr>
        <w:top w:val="none" w:sz="0" w:space="0" w:color="auto"/>
        <w:left w:val="none" w:sz="0" w:space="0" w:color="auto"/>
        <w:bottom w:val="none" w:sz="0" w:space="0" w:color="auto"/>
        <w:right w:val="none" w:sz="0" w:space="0" w:color="auto"/>
      </w:divBdr>
    </w:div>
    <w:div w:id="1367097443">
      <w:bodyDiv w:val="1"/>
      <w:marLeft w:val="0"/>
      <w:marRight w:val="0"/>
      <w:marTop w:val="0"/>
      <w:marBottom w:val="0"/>
      <w:divBdr>
        <w:top w:val="none" w:sz="0" w:space="0" w:color="auto"/>
        <w:left w:val="none" w:sz="0" w:space="0" w:color="auto"/>
        <w:bottom w:val="none" w:sz="0" w:space="0" w:color="auto"/>
        <w:right w:val="none" w:sz="0" w:space="0" w:color="auto"/>
      </w:divBdr>
    </w:div>
    <w:div w:id="1368603899">
      <w:bodyDiv w:val="1"/>
      <w:marLeft w:val="0"/>
      <w:marRight w:val="0"/>
      <w:marTop w:val="0"/>
      <w:marBottom w:val="0"/>
      <w:divBdr>
        <w:top w:val="none" w:sz="0" w:space="0" w:color="auto"/>
        <w:left w:val="none" w:sz="0" w:space="0" w:color="auto"/>
        <w:bottom w:val="none" w:sz="0" w:space="0" w:color="auto"/>
        <w:right w:val="none" w:sz="0" w:space="0" w:color="auto"/>
      </w:divBdr>
    </w:div>
    <w:div w:id="1369984686">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393501028">
      <w:bodyDiv w:val="1"/>
      <w:marLeft w:val="0"/>
      <w:marRight w:val="0"/>
      <w:marTop w:val="0"/>
      <w:marBottom w:val="0"/>
      <w:divBdr>
        <w:top w:val="none" w:sz="0" w:space="0" w:color="auto"/>
        <w:left w:val="none" w:sz="0" w:space="0" w:color="auto"/>
        <w:bottom w:val="none" w:sz="0" w:space="0" w:color="auto"/>
        <w:right w:val="none" w:sz="0" w:space="0" w:color="auto"/>
      </w:divBdr>
    </w:div>
    <w:div w:id="1396856348">
      <w:bodyDiv w:val="1"/>
      <w:marLeft w:val="0"/>
      <w:marRight w:val="0"/>
      <w:marTop w:val="0"/>
      <w:marBottom w:val="0"/>
      <w:divBdr>
        <w:top w:val="none" w:sz="0" w:space="0" w:color="auto"/>
        <w:left w:val="none" w:sz="0" w:space="0" w:color="auto"/>
        <w:bottom w:val="none" w:sz="0" w:space="0" w:color="auto"/>
        <w:right w:val="none" w:sz="0" w:space="0" w:color="auto"/>
      </w:divBdr>
    </w:div>
    <w:div w:id="1426996435">
      <w:bodyDiv w:val="1"/>
      <w:marLeft w:val="0"/>
      <w:marRight w:val="0"/>
      <w:marTop w:val="0"/>
      <w:marBottom w:val="0"/>
      <w:divBdr>
        <w:top w:val="none" w:sz="0" w:space="0" w:color="auto"/>
        <w:left w:val="none" w:sz="0" w:space="0" w:color="auto"/>
        <w:bottom w:val="none" w:sz="0" w:space="0" w:color="auto"/>
        <w:right w:val="none" w:sz="0" w:space="0" w:color="auto"/>
      </w:divBdr>
    </w:div>
    <w:div w:id="1442844810">
      <w:bodyDiv w:val="1"/>
      <w:marLeft w:val="0"/>
      <w:marRight w:val="0"/>
      <w:marTop w:val="0"/>
      <w:marBottom w:val="0"/>
      <w:divBdr>
        <w:top w:val="none" w:sz="0" w:space="0" w:color="auto"/>
        <w:left w:val="none" w:sz="0" w:space="0" w:color="auto"/>
        <w:bottom w:val="none" w:sz="0" w:space="0" w:color="auto"/>
        <w:right w:val="none" w:sz="0" w:space="0" w:color="auto"/>
      </w:divBdr>
    </w:div>
    <w:div w:id="1443376851">
      <w:bodyDiv w:val="1"/>
      <w:marLeft w:val="0"/>
      <w:marRight w:val="0"/>
      <w:marTop w:val="0"/>
      <w:marBottom w:val="0"/>
      <w:divBdr>
        <w:top w:val="none" w:sz="0" w:space="0" w:color="auto"/>
        <w:left w:val="none" w:sz="0" w:space="0" w:color="auto"/>
        <w:bottom w:val="none" w:sz="0" w:space="0" w:color="auto"/>
        <w:right w:val="none" w:sz="0" w:space="0" w:color="auto"/>
      </w:divBdr>
    </w:div>
    <w:div w:id="1447039234">
      <w:bodyDiv w:val="1"/>
      <w:marLeft w:val="0"/>
      <w:marRight w:val="0"/>
      <w:marTop w:val="0"/>
      <w:marBottom w:val="0"/>
      <w:divBdr>
        <w:top w:val="none" w:sz="0" w:space="0" w:color="auto"/>
        <w:left w:val="none" w:sz="0" w:space="0" w:color="auto"/>
        <w:bottom w:val="none" w:sz="0" w:space="0" w:color="auto"/>
        <w:right w:val="none" w:sz="0" w:space="0" w:color="auto"/>
      </w:divBdr>
    </w:div>
    <w:div w:id="1451508756">
      <w:bodyDiv w:val="1"/>
      <w:marLeft w:val="0"/>
      <w:marRight w:val="0"/>
      <w:marTop w:val="0"/>
      <w:marBottom w:val="0"/>
      <w:divBdr>
        <w:top w:val="none" w:sz="0" w:space="0" w:color="auto"/>
        <w:left w:val="none" w:sz="0" w:space="0" w:color="auto"/>
        <w:bottom w:val="none" w:sz="0" w:space="0" w:color="auto"/>
        <w:right w:val="none" w:sz="0" w:space="0" w:color="auto"/>
      </w:divBdr>
    </w:div>
    <w:div w:id="1516731718">
      <w:bodyDiv w:val="1"/>
      <w:marLeft w:val="0"/>
      <w:marRight w:val="0"/>
      <w:marTop w:val="0"/>
      <w:marBottom w:val="0"/>
      <w:divBdr>
        <w:top w:val="none" w:sz="0" w:space="0" w:color="auto"/>
        <w:left w:val="none" w:sz="0" w:space="0" w:color="auto"/>
        <w:bottom w:val="none" w:sz="0" w:space="0" w:color="auto"/>
        <w:right w:val="none" w:sz="0" w:space="0" w:color="auto"/>
      </w:divBdr>
    </w:div>
    <w:div w:id="1547402163">
      <w:bodyDiv w:val="1"/>
      <w:marLeft w:val="0"/>
      <w:marRight w:val="0"/>
      <w:marTop w:val="0"/>
      <w:marBottom w:val="0"/>
      <w:divBdr>
        <w:top w:val="none" w:sz="0" w:space="0" w:color="auto"/>
        <w:left w:val="none" w:sz="0" w:space="0" w:color="auto"/>
        <w:bottom w:val="none" w:sz="0" w:space="0" w:color="auto"/>
        <w:right w:val="none" w:sz="0" w:space="0" w:color="auto"/>
      </w:divBdr>
    </w:div>
    <w:div w:id="1557744530">
      <w:bodyDiv w:val="1"/>
      <w:marLeft w:val="0"/>
      <w:marRight w:val="0"/>
      <w:marTop w:val="0"/>
      <w:marBottom w:val="0"/>
      <w:divBdr>
        <w:top w:val="none" w:sz="0" w:space="0" w:color="auto"/>
        <w:left w:val="none" w:sz="0" w:space="0" w:color="auto"/>
        <w:bottom w:val="none" w:sz="0" w:space="0" w:color="auto"/>
        <w:right w:val="none" w:sz="0" w:space="0" w:color="auto"/>
      </w:divBdr>
    </w:div>
    <w:div w:id="1599681232">
      <w:bodyDiv w:val="1"/>
      <w:marLeft w:val="0"/>
      <w:marRight w:val="0"/>
      <w:marTop w:val="0"/>
      <w:marBottom w:val="0"/>
      <w:divBdr>
        <w:top w:val="none" w:sz="0" w:space="0" w:color="auto"/>
        <w:left w:val="none" w:sz="0" w:space="0" w:color="auto"/>
        <w:bottom w:val="none" w:sz="0" w:space="0" w:color="auto"/>
        <w:right w:val="none" w:sz="0" w:space="0" w:color="auto"/>
      </w:divBdr>
    </w:div>
    <w:div w:id="1606385580">
      <w:bodyDiv w:val="1"/>
      <w:marLeft w:val="0"/>
      <w:marRight w:val="0"/>
      <w:marTop w:val="0"/>
      <w:marBottom w:val="0"/>
      <w:divBdr>
        <w:top w:val="none" w:sz="0" w:space="0" w:color="auto"/>
        <w:left w:val="none" w:sz="0" w:space="0" w:color="auto"/>
        <w:bottom w:val="none" w:sz="0" w:space="0" w:color="auto"/>
        <w:right w:val="none" w:sz="0" w:space="0" w:color="auto"/>
      </w:divBdr>
    </w:div>
    <w:div w:id="1624074117">
      <w:bodyDiv w:val="1"/>
      <w:marLeft w:val="0"/>
      <w:marRight w:val="0"/>
      <w:marTop w:val="0"/>
      <w:marBottom w:val="0"/>
      <w:divBdr>
        <w:top w:val="none" w:sz="0" w:space="0" w:color="auto"/>
        <w:left w:val="none" w:sz="0" w:space="0" w:color="auto"/>
        <w:bottom w:val="none" w:sz="0" w:space="0" w:color="auto"/>
        <w:right w:val="none" w:sz="0" w:space="0" w:color="auto"/>
      </w:divBdr>
    </w:div>
    <w:div w:id="1633829008">
      <w:bodyDiv w:val="1"/>
      <w:marLeft w:val="0"/>
      <w:marRight w:val="0"/>
      <w:marTop w:val="0"/>
      <w:marBottom w:val="0"/>
      <w:divBdr>
        <w:top w:val="none" w:sz="0" w:space="0" w:color="auto"/>
        <w:left w:val="none" w:sz="0" w:space="0" w:color="auto"/>
        <w:bottom w:val="none" w:sz="0" w:space="0" w:color="auto"/>
        <w:right w:val="none" w:sz="0" w:space="0" w:color="auto"/>
      </w:divBdr>
    </w:div>
    <w:div w:id="1644576853">
      <w:bodyDiv w:val="1"/>
      <w:marLeft w:val="0"/>
      <w:marRight w:val="0"/>
      <w:marTop w:val="0"/>
      <w:marBottom w:val="0"/>
      <w:divBdr>
        <w:top w:val="none" w:sz="0" w:space="0" w:color="auto"/>
        <w:left w:val="none" w:sz="0" w:space="0" w:color="auto"/>
        <w:bottom w:val="none" w:sz="0" w:space="0" w:color="auto"/>
        <w:right w:val="none" w:sz="0" w:space="0" w:color="auto"/>
      </w:divBdr>
    </w:div>
    <w:div w:id="1647735507">
      <w:bodyDiv w:val="1"/>
      <w:marLeft w:val="0"/>
      <w:marRight w:val="0"/>
      <w:marTop w:val="0"/>
      <w:marBottom w:val="0"/>
      <w:divBdr>
        <w:top w:val="none" w:sz="0" w:space="0" w:color="auto"/>
        <w:left w:val="none" w:sz="0" w:space="0" w:color="auto"/>
        <w:bottom w:val="none" w:sz="0" w:space="0" w:color="auto"/>
        <w:right w:val="none" w:sz="0" w:space="0" w:color="auto"/>
      </w:divBdr>
    </w:div>
    <w:div w:id="1648850626">
      <w:bodyDiv w:val="1"/>
      <w:marLeft w:val="0"/>
      <w:marRight w:val="0"/>
      <w:marTop w:val="0"/>
      <w:marBottom w:val="0"/>
      <w:divBdr>
        <w:top w:val="none" w:sz="0" w:space="0" w:color="auto"/>
        <w:left w:val="none" w:sz="0" w:space="0" w:color="auto"/>
        <w:bottom w:val="none" w:sz="0" w:space="0" w:color="auto"/>
        <w:right w:val="none" w:sz="0" w:space="0" w:color="auto"/>
      </w:divBdr>
    </w:div>
    <w:div w:id="1684819074">
      <w:bodyDiv w:val="1"/>
      <w:marLeft w:val="0"/>
      <w:marRight w:val="0"/>
      <w:marTop w:val="0"/>
      <w:marBottom w:val="0"/>
      <w:divBdr>
        <w:top w:val="none" w:sz="0" w:space="0" w:color="auto"/>
        <w:left w:val="none" w:sz="0" w:space="0" w:color="auto"/>
        <w:bottom w:val="none" w:sz="0" w:space="0" w:color="auto"/>
        <w:right w:val="none" w:sz="0" w:space="0" w:color="auto"/>
      </w:divBdr>
    </w:div>
    <w:div w:id="1688169204">
      <w:bodyDiv w:val="1"/>
      <w:marLeft w:val="0"/>
      <w:marRight w:val="0"/>
      <w:marTop w:val="0"/>
      <w:marBottom w:val="0"/>
      <w:divBdr>
        <w:top w:val="none" w:sz="0" w:space="0" w:color="auto"/>
        <w:left w:val="none" w:sz="0" w:space="0" w:color="auto"/>
        <w:bottom w:val="none" w:sz="0" w:space="0" w:color="auto"/>
        <w:right w:val="none" w:sz="0" w:space="0" w:color="auto"/>
      </w:divBdr>
    </w:div>
    <w:div w:id="1694187721">
      <w:bodyDiv w:val="1"/>
      <w:marLeft w:val="0"/>
      <w:marRight w:val="0"/>
      <w:marTop w:val="0"/>
      <w:marBottom w:val="0"/>
      <w:divBdr>
        <w:top w:val="none" w:sz="0" w:space="0" w:color="auto"/>
        <w:left w:val="none" w:sz="0" w:space="0" w:color="auto"/>
        <w:bottom w:val="none" w:sz="0" w:space="0" w:color="auto"/>
        <w:right w:val="none" w:sz="0" w:space="0" w:color="auto"/>
      </w:divBdr>
    </w:div>
    <w:div w:id="1709842632">
      <w:bodyDiv w:val="1"/>
      <w:marLeft w:val="0"/>
      <w:marRight w:val="0"/>
      <w:marTop w:val="0"/>
      <w:marBottom w:val="0"/>
      <w:divBdr>
        <w:top w:val="none" w:sz="0" w:space="0" w:color="auto"/>
        <w:left w:val="none" w:sz="0" w:space="0" w:color="auto"/>
        <w:bottom w:val="none" w:sz="0" w:space="0" w:color="auto"/>
        <w:right w:val="none" w:sz="0" w:space="0" w:color="auto"/>
      </w:divBdr>
    </w:div>
    <w:div w:id="1724939761">
      <w:bodyDiv w:val="1"/>
      <w:marLeft w:val="0"/>
      <w:marRight w:val="0"/>
      <w:marTop w:val="0"/>
      <w:marBottom w:val="0"/>
      <w:divBdr>
        <w:top w:val="none" w:sz="0" w:space="0" w:color="auto"/>
        <w:left w:val="none" w:sz="0" w:space="0" w:color="auto"/>
        <w:bottom w:val="none" w:sz="0" w:space="0" w:color="auto"/>
        <w:right w:val="none" w:sz="0" w:space="0" w:color="auto"/>
      </w:divBdr>
    </w:div>
    <w:div w:id="1728651187">
      <w:bodyDiv w:val="1"/>
      <w:marLeft w:val="0"/>
      <w:marRight w:val="0"/>
      <w:marTop w:val="0"/>
      <w:marBottom w:val="0"/>
      <w:divBdr>
        <w:top w:val="none" w:sz="0" w:space="0" w:color="auto"/>
        <w:left w:val="none" w:sz="0" w:space="0" w:color="auto"/>
        <w:bottom w:val="none" w:sz="0" w:space="0" w:color="auto"/>
        <w:right w:val="none" w:sz="0" w:space="0" w:color="auto"/>
      </w:divBdr>
    </w:div>
    <w:div w:id="1737319267">
      <w:bodyDiv w:val="1"/>
      <w:marLeft w:val="0"/>
      <w:marRight w:val="0"/>
      <w:marTop w:val="0"/>
      <w:marBottom w:val="0"/>
      <w:divBdr>
        <w:top w:val="none" w:sz="0" w:space="0" w:color="auto"/>
        <w:left w:val="none" w:sz="0" w:space="0" w:color="auto"/>
        <w:bottom w:val="none" w:sz="0" w:space="0" w:color="auto"/>
        <w:right w:val="none" w:sz="0" w:space="0" w:color="auto"/>
      </w:divBdr>
    </w:div>
    <w:div w:id="1743478383">
      <w:bodyDiv w:val="1"/>
      <w:marLeft w:val="0"/>
      <w:marRight w:val="0"/>
      <w:marTop w:val="0"/>
      <w:marBottom w:val="0"/>
      <w:divBdr>
        <w:top w:val="none" w:sz="0" w:space="0" w:color="auto"/>
        <w:left w:val="none" w:sz="0" w:space="0" w:color="auto"/>
        <w:bottom w:val="none" w:sz="0" w:space="0" w:color="auto"/>
        <w:right w:val="none" w:sz="0" w:space="0" w:color="auto"/>
      </w:divBdr>
    </w:div>
    <w:div w:id="1771273668">
      <w:bodyDiv w:val="1"/>
      <w:marLeft w:val="0"/>
      <w:marRight w:val="0"/>
      <w:marTop w:val="0"/>
      <w:marBottom w:val="0"/>
      <w:divBdr>
        <w:top w:val="none" w:sz="0" w:space="0" w:color="auto"/>
        <w:left w:val="none" w:sz="0" w:space="0" w:color="auto"/>
        <w:bottom w:val="none" w:sz="0" w:space="0" w:color="auto"/>
        <w:right w:val="none" w:sz="0" w:space="0" w:color="auto"/>
      </w:divBdr>
    </w:div>
    <w:div w:id="1781142090">
      <w:bodyDiv w:val="1"/>
      <w:marLeft w:val="0"/>
      <w:marRight w:val="0"/>
      <w:marTop w:val="0"/>
      <w:marBottom w:val="0"/>
      <w:divBdr>
        <w:top w:val="none" w:sz="0" w:space="0" w:color="auto"/>
        <w:left w:val="none" w:sz="0" w:space="0" w:color="auto"/>
        <w:bottom w:val="none" w:sz="0" w:space="0" w:color="auto"/>
        <w:right w:val="none" w:sz="0" w:space="0" w:color="auto"/>
      </w:divBdr>
      <w:divsChild>
        <w:div w:id="38550985">
          <w:marLeft w:val="0"/>
          <w:marRight w:val="0"/>
          <w:marTop w:val="0"/>
          <w:marBottom w:val="0"/>
          <w:divBdr>
            <w:top w:val="none" w:sz="0" w:space="0" w:color="auto"/>
            <w:left w:val="none" w:sz="0" w:space="0" w:color="auto"/>
            <w:bottom w:val="none" w:sz="0" w:space="0" w:color="auto"/>
            <w:right w:val="none" w:sz="0" w:space="0" w:color="auto"/>
          </w:divBdr>
        </w:div>
        <w:div w:id="203714613">
          <w:marLeft w:val="0"/>
          <w:marRight w:val="0"/>
          <w:marTop w:val="0"/>
          <w:marBottom w:val="0"/>
          <w:divBdr>
            <w:top w:val="none" w:sz="0" w:space="0" w:color="auto"/>
            <w:left w:val="none" w:sz="0" w:space="0" w:color="auto"/>
            <w:bottom w:val="none" w:sz="0" w:space="0" w:color="auto"/>
            <w:right w:val="none" w:sz="0" w:space="0" w:color="auto"/>
          </w:divBdr>
        </w:div>
        <w:div w:id="441343663">
          <w:marLeft w:val="0"/>
          <w:marRight w:val="0"/>
          <w:marTop w:val="0"/>
          <w:marBottom w:val="0"/>
          <w:divBdr>
            <w:top w:val="none" w:sz="0" w:space="0" w:color="auto"/>
            <w:left w:val="none" w:sz="0" w:space="0" w:color="auto"/>
            <w:bottom w:val="none" w:sz="0" w:space="0" w:color="auto"/>
            <w:right w:val="none" w:sz="0" w:space="0" w:color="auto"/>
          </w:divBdr>
          <w:divsChild>
            <w:div w:id="159128602">
              <w:marLeft w:val="0"/>
              <w:marRight w:val="0"/>
              <w:marTop w:val="0"/>
              <w:marBottom w:val="75"/>
              <w:divBdr>
                <w:top w:val="none" w:sz="0" w:space="0" w:color="auto"/>
                <w:left w:val="none" w:sz="0" w:space="0" w:color="auto"/>
                <w:bottom w:val="none" w:sz="0" w:space="0" w:color="auto"/>
                <w:right w:val="none" w:sz="0" w:space="0" w:color="auto"/>
              </w:divBdr>
            </w:div>
          </w:divsChild>
        </w:div>
        <w:div w:id="472794990">
          <w:marLeft w:val="0"/>
          <w:marRight w:val="0"/>
          <w:marTop w:val="0"/>
          <w:marBottom w:val="0"/>
          <w:divBdr>
            <w:top w:val="none" w:sz="0" w:space="0" w:color="auto"/>
            <w:left w:val="none" w:sz="0" w:space="0" w:color="auto"/>
            <w:bottom w:val="none" w:sz="0" w:space="0" w:color="auto"/>
            <w:right w:val="none" w:sz="0" w:space="0" w:color="auto"/>
          </w:divBdr>
          <w:divsChild>
            <w:div w:id="1284262364">
              <w:marLeft w:val="0"/>
              <w:marRight w:val="0"/>
              <w:marTop w:val="0"/>
              <w:marBottom w:val="75"/>
              <w:divBdr>
                <w:top w:val="none" w:sz="0" w:space="0" w:color="auto"/>
                <w:left w:val="none" w:sz="0" w:space="0" w:color="auto"/>
                <w:bottom w:val="none" w:sz="0" w:space="0" w:color="auto"/>
                <w:right w:val="none" w:sz="0" w:space="0" w:color="auto"/>
              </w:divBdr>
            </w:div>
          </w:divsChild>
        </w:div>
        <w:div w:id="589198675">
          <w:marLeft w:val="0"/>
          <w:marRight w:val="0"/>
          <w:marTop w:val="0"/>
          <w:marBottom w:val="0"/>
          <w:divBdr>
            <w:top w:val="none" w:sz="0" w:space="0" w:color="auto"/>
            <w:left w:val="none" w:sz="0" w:space="0" w:color="auto"/>
            <w:bottom w:val="none" w:sz="0" w:space="0" w:color="auto"/>
            <w:right w:val="none" w:sz="0" w:space="0" w:color="auto"/>
          </w:divBdr>
        </w:div>
        <w:div w:id="813721006">
          <w:marLeft w:val="0"/>
          <w:marRight w:val="0"/>
          <w:marTop w:val="0"/>
          <w:marBottom w:val="0"/>
          <w:divBdr>
            <w:top w:val="none" w:sz="0" w:space="0" w:color="auto"/>
            <w:left w:val="none" w:sz="0" w:space="0" w:color="auto"/>
            <w:bottom w:val="none" w:sz="0" w:space="0" w:color="auto"/>
            <w:right w:val="none" w:sz="0" w:space="0" w:color="auto"/>
          </w:divBdr>
          <w:divsChild>
            <w:div w:id="1408767155">
              <w:marLeft w:val="0"/>
              <w:marRight w:val="0"/>
              <w:marTop w:val="0"/>
              <w:marBottom w:val="75"/>
              <w:divBdr>
                <w:top w:val="none" w:sz="0" w:space="0" w:color="auto"/>
                <w:left w:val="none" w:sz="0" w:space="0" w:color="auto"/>
                <w:bottom w:val="none" w:sz="0" w:space="0" w:color="auto"/>
                <w:right w:val="none" w:sz="0" w:space="0" w:color="auto"/>
              </w:divBdr>
            </w:div>
          </w:divsChild>
        </w:div>
        <w:div w:id="1017345485">
          <w:marLeft w:val="0"/>
          <w:marRight w:val="0"/>
          <w:marTop w:val="0"/>
          <w:marBottom w:val="0"/>
          <w:divBdr>
            <w:top w:val="none" w:sz="0" w:space="0" w:color="auto"/>
            <w:left w:val="none" w:sz="0" w:space="0" w:color="auto"/>
            <w:bottom w:val="none" w:sz="0" w:space="0" w:color="auto"/>
            <w:right w:val="none" w:sz="0" w:space="0" w:color="auto"/>
          </w:divBdr>
          <w:divsChild>
            <w:div w:id="1921060890">
              <w:marLeft w:val="0"/>
              <w:marRight w:val="0"/>
              <w:marTop w:val="0"/>
              <w:marBottom w:val="75"/>
              <w:divBdr>
                <w:top w:val="none" w:sz="0" w:space="0" w:color="auto"/>
                <w:left w:val="none" w:sz="0" w:space="0" w:color="auto"/>
                <w:bottom w:val="none" w:sz="0" w:space="0" w:color="auto"/>
                <w:right w:val="none" w:sz="0" w:space="0" w:color="auto"/>
              </w:divBdr>
            </w:div>
          </w:divsChild>
        </w:div>
        <w:div w:id="1625697936">
          <w:marLeft w:val="0"/>
          <w:marRight w:val="0"/>
          <w:marTop w:val="0"/>
          <w:marBottom w:val="0"/>
          <w:divBdr>
            <w:top w:val="none" w:sz="0" w:space="0" w:color="auto"/>
            <w:left w:val="none" w:sz="0" w:space="0" w:color="auto"/>
            <w:bottom w:val="none" w:sz="0" w:space="0" w:color="auto"/>
            <w:right w:val="none" w:sz="0" w:space="0" w:color="auto"/>
          </w:divBdr>
        </w:div>
        <w:div w:id="1661227782">
          <w:marLeft w:val="0"/>
          <w:marRight w:val="0"/>
          <w:marTop w:val="0"/>
          <w:marBottom w:val="0"/>
          <w:divBdr>
            <w:top w:val="none" w:sz="0" w:space="0" w:color="auto"/>
            <w:left w:val="none" w:sz="0" w:space="0" w:color="auto"/>
            <w:bottom w:val="none" w:sz="0" w:space="0" w:color="auto"/>
            <w:right w:val="none" w:sz="0" w:space="0" w:color="auto"/>
          </w:divBdr>
          <w:divsChild>
            <w:div w:id="892697398">
              <w:marLeft w:val="0"/>
              <w:marRight w:val="0"/>
              <w:marTop w:val="0"/>
              <w:marBottom w:val="75"/>
              <w:divBdr>
                <w:top w:val="none" w:sz="0" w:space="0" w:color="auto"/>
                <w:left w:val="none" w:sz="0" w:space="0" w:color="auto"/>
                <w:bottom w:val="none" w:sz="0" w:space="0" w:color="auto"/>
                <w:right w:val="none" w:sz="0" w:space="0" w:color="auto"/>
              </w:divBdr>
            </w:div>
          </w:divsChild>
        </w:div>
        <w:div w:id="1794204073">
          <w:marLeft w:val="0"/>
          <w:marRight w:val="0"/>
          <w:marTop w:val="0"/>
          <w:marBottom w:val="0"/>
          <w:divBdr>
            <w:top w:val="none" w:sz="0" w:space="0" w:color="auto"/>
            <w:left w:val="none" w:sz="0" w:space="0" w:color="auto"/>
            <w:bottom w:val="none" w:sz="0" w:space="0" w:color="auto"/>
            <w:right w:val="none" w:sz="0" w:space="0" w:color="auto"/>
          </w:divBdr>
        </w:div>
        <w:div w:id="1907639424">
          <w:marLeft w:val="0"/>
          <w:marRight w:val="0"/>
          <w:marTop w:val="0"/>
          <w:marBottom w:val="0"/>
          <w:divBdr>
            <w:top w:val="none" w:sz="0" w:space="0" w:color="auto"/>
            <w:left w:val="none" w:sz="0" w:space="0" w:color="auto"/>
            <w:bottom w:val="none" w:sz="0" w:space="0" w:color="auto"/>
            <w:right w:val="none" w:sz="0" w:space="0" w:color="auto"/>
          </w:divBdr>
          <w:divsChild>
            <w:div w:id="1748185131">
              <w:marLeft w:val="0"/>
              <w:marRight w:val="0"/>
              <w:marTop w:val="0"/>
              <w:marBottom w:val="75"/>
              <w:divBdr>
                <w:top w:val="none" w:sz="0" w:space="0" w:color="auto"/>
                <w:left w:val="none" w:sz="0" w:space="0" w:color="auto"/>
                <w:bottom w:val="none" w:sz="0" w:space="0" w:color="auto"/>
                <w:right w:val="none" w:sz="0" w:space="0" w:color="auto"/>
              </w:divBdr>
            </w:div>
          </w:divsChild>
        </w:div>
        <w:div w:id="2038189797">
          <w:marLeft w:val="0"/>
          <w:marRight w:val="0"/>
          <w:marTop w:val="0"/>
          <w:marBottom w:val="0"/>
          <w:divBdr>
            <w:top w:val="none" w:sz="0" w:space="0" w:color="auto"/>
            <w:left w:val="none" w:sz="0" w:space="0" w:color="auto"/>
            <w:bottom w:val="none" w:sz="0" w:space="0" w:color="auto"/>
            <w:right w:val="none" w:sz="0" w:space="0" w:color="auto"/>
          </w:divBdr>
        </w:div>
      </w:divsChild>
    </w:div>
    <w:div w:id="1799185168">
      <w:bodyDiv w:val="1"/>
      <w:marLeft w:val="0"/>
      <w:marRight w:val="0"/>
      <w:marTop w:val="0"/>
      <w:marBottom w:val="0"/>
      <w:divBdr>
        <w:top w:val="none" w:sz="0" w:space="0" w:color="auto"/>
        <w:left w:val="none" w:sz="0" w:space="0" w:color="auto"/>
        <w:bottom w:val="none" w:sz="0" w:space="0" w:color="auto"/>
        <w:right w:val="none" w:sz="0" w:space="0" w:color="auto"/>
      </w:divBdr>
    </w:div>
    <w:div w:id="1801024885">
      <w:bodyDiv w:val="1"/>
      <w:marLeft w:val="0"/>
      <w:marRight w:val="0"/>
      <w:marTop w:val="0"/>
      <w:marBottom w:val="0"/>
      <w:divBdr>
        <w:top w:val="none" w:sz="0" w:space="0" w:color="auto"/>
        <w:left w:val="none" w:sz="0" w:space="0" w:color="auto"/>
        <w:bottom w:val="none" w:sz="0" w:space="0" w:color="auto"/>
        <w:right w:val="none" w:sz="0" w:space="0" w:color="auto"/>
      </w:divBdr>
    </w:div>
    <w:div w:id="1808550768">
      <w:bodyDiv w:val="1"/>
      <w:marLeft w:val="0"/>
      <w:marRight w:val="0"/>
      <w:marTop w:val="0"/>
      <w:marBottom w:val="0"/>
      <w:divBdr>
        <w:top w:val="none" w:sz="0" w:space="0" w:color="auto"/>
        <w:left w:val="none" w:sz="0" w:space="0" w:color="auto"/>
        <w:bottom w:val="none" w:sz="0" w:space="0" w:color="auto"/>
        <w:right w:val="none" w:sz="0" w:space="0" w:color="auto"/>
      </w:divBdr>
    </w:div>
    <w:div w:id="1821187628">
      <w:bodyDiv w:val="1"/>
      <w:marLeft w:val="0"/>
      <w:marRight w:val="0"/>
      <w:marTop w:val="0"/>
      <w:marBottom w:val="0"/>
      <w:divBdr>
        <w:top w:val="none" w:sz="0" w:space="0" w:color="auto"/>
        <w:left w:val="none" w:sz="0" w:space="0" w:color="auto"/>
        <w:bottom w:val="none" w:sz="0" w:space="0" w:color="auto"/>
        <w:right w:val="none" w:sz="0" w:space="0" w:color="auto"/>
      </w:divBdr>
    </w:div>
    <w:div w:id="1838499407">
      <w:bodyDiv w:val="1"/>
      <w:marLeft w:val="0"/>
      <w:marRight w:val="0"/>
      <w:marTop w:val="0"/>
      <w:marBottom w:val="0"/>
      <w:divBdr>
        <w:top w:val="none" w:sz="0" w:space="0" w:color="auto"/>
        <w:left w:val="none" w:sz="0" w:space="0" w:color="auto"/>
        <w:bottom w:val="none" w:sz="0" w:space="0" w:color="auto"/>
        <w:right w:val="none" w:sz="0" w:space="0" w:color="auto"/>
      </w:divBdr>
    </w:div>
    <w:div w:id="1849754432">
      <w:bodyDiv w:val="1"/>
      <w:marLeft w:val="0"/>
      <w:marRight w:val="0"/>
      <w:marTop w:val="0"/>
      <w:marBottom w:val="0"/>
      <w:divBdr>
        <w:top w:val="none" w:sz="0" w:space="0" w:color="auto"/>
        <w:left w:val="none" w:sz="0" w:space="0" w:color="auto"/>
        <w:bottom w:val="none" w:sz="0" w:space="0" w:color="auto"/>
        <w:right w:val="none" w:sz="0" w:space="0" w:color="auto"/>
      </w:divBdr>
    </w:div>
    <w:div w:id="1862669498">
      <w:bodyDiv w:val="1"/>
      <w:marLeft w:val="0"/>
      <w:marRight w:val="0"/>
      <w:marTop w:val="0"/>
      <w:marBottom w:val="0"/>
      <w:divBdr>
        <w:top w:val="none" w:sz="0" w:space="0" w:color="auto"/>
        <w:left w:val="none" w:sz="0" w:space="0" w:color="auto"/>
        <w:bottom w:val="none" w:sz="0" w:space="0" w:color="auto"/>
        <w:right w:val="none" w:sz="0" w:space="0" w:color="auto"/>
      </w:divBdr>
    </w:div>
    <w:div w:id="1865627487">
      <w:bodyDiv w:val="1"/>
      <w:marLeft w:val="0"/>
      <w:marRight w:val="0"/>
      <w:marTop w:val="0"/>
      <w:marBottom w:val="0"/>
      <w:divBdr>
        <w:top w:val="none" w:sz="0" w:space="0" w:color="auto"/>
        <w:left w:val="none" w:sz="0" w:space="0" w:color="auto"/>
        <w:bottom w:val="none" w:sz="0" w:space="0" w:color="auto"/>
        <w:right w:val="none" w:sz="0" w:space="0" w:color="auto"/>
      </w:divBdr>
    </w:div>
    <w:div w:id="1867133731">
      <w:bodyDiv w:val="1"/>
      <w:marLeft w:val="0"/>
      <w:marRight w:val="0"/>
      <w:marTop w:val="0"/>
      <w:marBottom w:val="0"/>
      <w:divBdr>
        <w:top w:val="none" w:sz="0" w:space="0" w:color="auto"/>
        <w:left w:val="none" w:sz="0" w:space="0" w:color="auto"/>
        <w:bottom w:val="none" w:sz="0" w:space="0" w:color="auto"/>
        <w:right w:val="none" w:sz="0" w:space="0" w:color="auto"/>
      </w:divBdr>
    </w:div>
    <w:div w:id="1872960091">
      <w:bodyDiv w:val="1"/>
      <w:marLeft w:val="0"/>
      <w:marRight w:val="0"/>
      <w:marTop w:val="0"/>
      <w:marBottom w:val="0"/>
      <w:divBdr>
        <w:top w:val="none" w:sz="0" w:space="0" w:color="auto"/>
        <w:left w:val="none" w:sz="0" w:space="0" w:color="auto"/>
        <w:bottom w:val="none" w:sz="0" w:space="0" w:color="auto"/>
        <w:right w:val="none" w:sz="0" w:space="0" w:color="auto"/>
      </w:divBdr>
    </w:div>
    <w:div w:id="1882546421">
      <w:bodyDiv w:val="1"/>
      <w:marLeft w:val="0"/>
      <w:marRight w:val="0"/>
      <w:marTop w:val="0"/>
      <w:marBottom w:val="0"/>
      <w:divBdr>
        <w:top w:val="none" w:sz="0" w:space="0" w:color="auto"/>
        <w:left w:val="none" w:sz="0" w:space="0" w:color="auto"/>
        <w:bottom w:val="none" w:sz="0" w:space="0" w:color="auto"/>
        <w:right w:val="none" w:sz="0" w:space="0" w:color="auto"/>
      </w:divBdr>
      <w:divsChild>
        <w:div w:id="1920864714">
          <w:marLeft w:val="0"/>
          <w:marRight w:val="0"/>
          <w:marTop w:val="0"/>
          <w:marBottom w:val="0"/>
          <w:divBdr>
            <w:top w:val="none" w:sz="0" w:space="0" w:color="auto"/>
            <w:left w:val="none" w:sz="0" w:space="0" w:color="auto"/>
            <w:bottom w:val="none" w:sz="0" w:space="0" w:color="auto"/>
            <w:right w:val="none" w:sz="0" w:space="0" w:color="auto"/>
          </w:divBdr>
          <w:divsChild>
            <w:div w:id="907689541">
              <w:marLeft w:val="0"/>
              <w:marRight w:val="0"/>
              <w:marTop w:val="0"/>
              <w:marBottom w:val="0"/>
              <w:divBdr>
                <w:top w:val="none" w:sz="0" w:space="0" w:color="auto"/>
                <w:left w:val="none" w:sz="0" w:space="0" w:color="auto"/>
                <w:bottom w:val="none" w:sz="0" w:space="0" w:color="auto"/>
                <w:right w:val="none" w:sz="0" w:space="0" w:color="auto"/>
              </w:divBdr>
              <w:divsChild>
                <w:div w:id="919829848">
                  <w:marLeft w:val="0"/>
                  <w:marRight w:val="0"/>
                  <w:marTop w:val="0"/>
                  <w:marBottom w:val="0"/>
                  <w:divBdr>
                    <w:top w:val="none" w:sz="0" w:space="0" w:color="auto"/>
                    <w:left w:val="none" w:sz="0" w:space="0" w:color="auto"/>
                    <w:bottom w:val="none" w:sz="0" w:space="0" w:color="auto"/>
                    <w:right w:val="none" w:sz="0" w:space="0" w:color="auto"/>
                  </w:divBdr>
                  <w:divsChild>
                    <w:div w:id="18631523">
                      <w:marLeft w:val="0"/>
                      <w:marRight w:val="0"/>
                      <w:marTop w:val="0"/>
                      <w:marBottom w:val="0"/>
                      <w:divBdr>
                        <w:top w:val="none" w:sz="0" w:space="0" w:color="auto"/>
                        <w:left w:val="none" w:sz="0" w:space="0" w:color="auto"/>
                        <w:bottom w:val="none" w:sz="0" w:space="0" w:color="auto"/>
                        <w:right w:val="none" w:sz="0" w:space="0" w:color="auto"/>
                      </w:divBdr>
                      <w:divsChild>
                        <w:div w:id="1566449199">
                          <w:marLeft w:val="0"/>
                          <w:marRight w:val="0"/>
                          <w:marTop w:val="0"/>
                          <w:marBottom w:val="0"/>
                          <w:divBdr>
                            <w:top w:val="none" w:sz="0" w:space="0" w:color="auto"/>
                            <w:left w:val="none" w:sz="0" w:space="0" w:color="auto"/>
                            <w:bottom w:val="none" w:sz="0" w:space="0" w:color="auto"/>
                            <w:right w:val="none" w:sz="0" w:space="0" w:color="auto"/>
                          </w:divBdr>
                          <w:divsChild>
                            <w:div w:id="16789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3902273">
      <w:bodyDiv w:val="1"/>
      <w:marLeft w:val="0"/>
      <w:marRight w:val="0"/>
      <w:marTop w:val="0"/>
      <w:marBottom w:val="0"/>
      <w:divBdr>
        <w:top w:val="none" w:sz="0" w:space="0" w:color="auto"/>
        <w:left w:val="none" w:sz="0" w:space="0" w:color="auto"/>
        <w:bottom w:val="none" w:sz="0" w:space="0" w:color="auto"/>
        <w:right w:val="none" w:sz="0" w:space="0" w:color="auto"/>
      </w:divBdr>
    </w:div>
    <w:div w:id="1913587535">
      <w:bodyDiv w:val="1"/>
      <w:marLeft w:val="0"/>
      <w:marRight w:val="0"/>
      <w:marTop w:val="0"/>
      <w:marBottom w:val="0"/>
      <w:divBdr>
        <w:top w:val="none" w:sz="0" w:space="0" w:color="auto"/>
        <w:left w:val="none" w:sz="0" w:space="0" w:color="auto"/>
        <w:bottom w:val="none" w:sz="0" w:space="0" w:color="auto"/>
        <w:right w:val="none" w:sz="0" w:space="0" w:color="auto"/>
      </w:divBdr>
    </w:div>
    <w:div w:id="1919122942">
      <w:bodyDiv w:val="1"/>
      <w:marLeft w:val="0"/>
      <w:marRight w:val="0"/>
      <w:marTop w:val="0"/>
      <w:marBottom w:val="0"/>
      <w:divBdr>
        <w:top w:val="none" w:sz="0" w:space="0" w:color="auto"/>
        <w:left w:val="none" w:sz="0" w:space="0" w:color="auto"/>
        <w:bottom w:val="none" w:sz="0" w:space="0" w:color="auto"/>
        <w:right w:val="none" w:sz="0" w:space="0" w:color="auto"/>
      </w:divBdr>
    </w:div>
    <w:div w:id="1925336589">
      <w:bodyDiv w:val="1"/>
      <w:marLeft w:val="0"/>
      <w:marRight w:val="0"/>
      <w:marTop w:val="0"/>
      <w:marBottom w:val="0"/>
      <w:divBdr>
        <w:top w:val="none" w:sz="0" w:space="0" w:color="auto"/>
        <w:left w:val="none" w:sz="0" w:space="0" w:color="auto"/>
        <w:bottom w:val="none" w:sz="0" w:space="0" w:color="auto"/>
        <w:right w:val="none" w:sz="0" w:space="0" w:color="auto"/>
      </w:divBdr>
    </w:div>
    <w:div w:id="1925718324">
      <w:bodyDiv w:val="1"/>
      <w:marLeft w:val="0"/>
      <w:marRight w:val="0"/>
      <w:marTop w:val="0"/>
      <w:marBottom w:val="0"/>
      <w:divBdr>
        <w:top w:val="none" w:sz="0" w:space="0" w:color="auto"/>
        <w:left w:val="none" w:sz="0" w:space="0" w:color="auto"/>
        <w:bottom w:val="none" w:sz="0" w:space="0" w:color="auto"/>
        <w:right w:val="none" w:sz="0" w:space="0" w:color="auto"/>
      </w:divBdr>
    </w:div>
    <w:div w:id="1931961386">
      <w:bodyDiv w:val="1"/>
      <w:marLeft w:val="0"/>
      <w:marRight w:val="0"/>
      <w:marTop w:val="0"/>
      <w:marBottom w:val="0"/>
      <w:divBdr>
        <w:top w:val="none" w:sz="0" w:space="0" w:color="auto"/>
        <w:left w:val="none" w:sz="0" w:space="0" w:color="auto"/>
        <w:bottom w:val="none" w:sz="0" w:space="0" w:color="auto"/>
        <w:right w:val="none" w:sz="0" w:space="0" w:color="auto"/>
      </w:divBdr>
    </w:div>
    <w:div w:id="2008053192">
      <w:bodyDiv w:val="1"/>
      <w:marLeft w:val="0"/>
      <w:marRight w:val="0"/>
      <w:marTop w:val="0"/>
      <w:marBottom w:val="0"/>
      <w:divBdr>
        <w:top w:val="none" w:sz="0" w:space="0" w:color="auto"/>
        <w:left w:val="none" w:sz="0" w:space="0" w:color="auto"/>
        <w:bottom w:val="none" w:sz="0" w:space="0" w:color="auto"/>
        <w:right w:val="none" w:sz="0" w:space="0" w:color="auto"/>
      </w:divBdr>
    </w:div>
    <w:div w:id="2030914289">
      <w:bodyDiv w:val="1"/>
      <w:marLeft w:val="0"/>
      <w:marRight w:val="0"/>
      <w:marTop w:val="0"/>
      <w:marBottom w:val="0"/>
      <w:divBdr>
        <w:top w:val="none" w:sz="0" w:space="0" w:color="auto"/>
        <w:left w:val="none" w:sz="0" w:space="0" w:color="auto"/>
        <w:bottom w:val="none" w:sz="0" w:space="0" w:color="auto"/>
        <w:right w:val="none" w:sz="0" w:space="0" w:color="auto"/>
      </w:divBdr>
    </w:div>
    <w:div w:id="2048024925">
      <w:bodyDiv w:val="1"/>
      <w:marLeft w:val="0"/>
      <w:marRight w:val="0"/>
      <w:marTop w:val="0"/>
      <w:marBottom w:val="0"/>
      <w:divBdr>
        <w:top w:val="none" w:sz="0" w:space="0" w:color="auto"/>
        <w:left w:val="none" w:sz="0" w:space="0" w:color="auto"/>
        <w:bottom w:val="none" w:sz="0" w:space="0" w:color="auto"/>
        <w:right w:val="none" w:sz="0" w:space="0" w:color="auto"/>
      </w:divBdr>
    </w:div>
    <w:div w:id="2118602725">
      <w:bodyDiv w:val="1"/>
      <w:marLeft w:val="0"/>
      <w:marRight w:val="0"/>
      <w:marTop w:val="0"/>
      <w:marBottom w:val="0"/>
      <w:divBdr>
        <w:top w:val="none" w:sz="0" w:space="0" w:color="auto"/>
        <w:left w:val="none" w:sz="0" w:space="0" w:color="auto"/>
        <w:bottom w:val="none" w:sz="0" w:space="0" w:color="auto"/>
        <w:right w:val="none" w:sz="0" w:space="0" w:color="auto"/>
      </w:divBdr>
    </w:div>
    <w:div w:id="21216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ata.ed.gov/dataset/docs/idea-section-618-data-products-state-level-data-fil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ed.gov/about/inits/ed/edfacts/data-files/index.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8" ma:contentTypeDescription="Create a new document." ma:contentTypeScope="" ma:versionID="afdbb9904c1b5e0f9f5b19c070b53e9e">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98290b6c3dcb1678d2228f849cd71ae8"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598C33-E7D6-47EB-BFA6-48B6CE027FE0}">
  <ds:schemaRefs>
    <ds:schemaRef ds:uri="http://schemas.microsoft.com/office/2006/metadata/properties"/>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documentManagement/types"/>
    <ds:schemaRef ds:uri="292db1e8-b3d0-4356-8ef3-2a6d7ed77883"/>
    <ds:schemaRef ds:uri="http://purl.org/dc/terms/"/>
    <ds:schemaRef ds:uri="4f36bac4-6705-4a36-974b-7c07450fedf2"/>
    <ds:schemaRef ds:uri="http://schemas.microsoft.com/sharepoint/v3"/>
    <ds:schemaRef ds:uri="http://www.w3.org/XML/1998/namespace"/>
  </ds:schemaRefs>
</ds:datastoreItem>
</file>

<file path=customXml/itemProps2.xml><?xml version="1.0" encoding="utf-8"?>
<ds:datastoreItem xmlns:ds="http://schemas.openxmlformats.org/officeDocument/2006/customXml" ds:itemID="{91384E1F-EF6E-42F1-AAC9-B4A1CCEE36EA}">
  <ds:schemaRefs>
    <ds:schemaRef ds:uri="http://schemas.microsoft.com/sharepoint/v3/contenttype/forms"/>
  </ds:schemaRefs>
</ds:datastoreItem>
</file>

<file path=customXml/itemProps3.xml><?xml version="1.0" encoding="utf-8"?>
<ds:datastoreItem xmlns:ds="http://schemas.openxmlformats.org/officeDocument/2006/customXml" ds:itemID="{987B907F-2B8F-47B0-9676-480A6A87CDD0}">
  <ds:schemaRefs>
    <ds:schemaRef ds:uri="http://schemas.openxmlformats.org/officeDocument/2006/bibliography"/>
  </ds:schemaRefs>
</ds:datastoreItem>
</file>

<file path=customXml/itemProps4.xml><?xml version="1.0" encoding="utf-8"?>
<ds:datastoreItem xmlns:ds="http://schemas.openxmlformats.org/officeDocument/2006/customXml" ds:itemID="{38DEF7F1-D422-45AF-AC66-77A1D5C41CD1}"/>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10</Pages>
  <Words>4435</Words>
  <Characters>25281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Hoffman, Amanda</dc:creator>
  <cp:lastModifiedBy>Mariam Diallo - CTR</cp:lastModifiedBy>
  <cp:revision>7</cp:revision>
  <cp:lastPrinted>2019-08-19T19:52:00Z</cp:lastPrinted>
  <dcterms:created xsi:type="dcterms:W3CDTF">2023-07-14T12:06:00Z</dcterms:created>
  <dcterms:modified xsi:type="dcterms:W3CDTF">2023-07-14T12:29:00Z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0x01010000721A7242F9CD49BD1E05495CEFC5E9</vt:lpwstr>
  </property>
  <property fmtid="{D5CDD505-2E9C-101B-9397-08002B2CF9AE}" pid="3" name="_dlc_DocIdItemGuid">
    <vt:lpwstr>400b0ec0-58a0-496f-a2f9-884a6dcd075d</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ies>
</file>